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header2.xml.rels" ContentType="application/vnd.openxmlformats-package.relationships+xml"/>
  <Override PartName="/word/_rels/document.xml.rels" ContentType="application/vnd.openxmlformats-package.relationships+xml"/>
  <Override PartName="/word/document.xml" ContentType="application/vnd.openxmlformats-officedocument.wordprocessingml.document.main+xml"/>
  <Override PartName="/word/media/image1.png" ContentType="image/png"/>
  <Override PartName="/word/media/image2.png" ContentType="image/png"/>
  <Override PartName="/word/media/image3.png" ContentType="image/png"/>
  <Override PartName="/word/header2.xml" ContentType="application/vnd.openxmlformats-officedocument.wordprocessingml.header+xml"/>
  <Override PartName="/word/styles.xml" ContentType="application/vnd.openxmlformats-officedocument.wordprocessingml.styles+xml"/>
  <Override PartName="/word/header1.xml" ContentType="application/vnd.openxmlformats-officedocument.wordprocessingml.header+xml"/>
  <Override PartName="/word/theme/theme1.xml" ContentType="application/vnd.openxmlformats-officedocument.theme+xml"/>
  <Override PartName="/word/footer1.xml" ContentType="application/vnd.openxmlformats-officedocument.wordprocessingml.footer+xml"/>
  <Override PartName="/word/settings.xml" ContentType="application/vnd.openxmlformats-officedocument.wordprocessingml.settings+xml"/>
  <Override PartName="/word/numbering.xml" ContentType="application/vnd.openxmlformats-officedocument.wordprocessingml.numbering+xml"/>
  <Override PartName="/word/fontTable.xml" ContentType="application/vnd.openxmlformats-officedocument.wordprocessingml.fontTable+xml"/>
  <Override PartName="/_rels/.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_rels/item4.xml.rels" ContentType="application/vnd.openxmlformats-package.relationships+xml"/>
  <Override PartName="/customXml/_rels/item3.xml.rels" ContentType="application/vnd.openxmlformats-package.relationships+xml"/>
  <Override PartName="/customXml/_rels/item2.xml.rels" ContentType="application/vnd.openxmlformats-package.relationships+xml"/>
  <Override PartName="/customXml/_rels/item1.xml.rels" ContentType="application/vnd.openxmlformats-package.relationships+xml"/>
  <Override PartName="/customXml/itemProps2.xml" ContentType="application/vnd.openxmlformats-officedocument.customXmlProperties+xml"/>
  <Override PartName="/customXml/item3.xml" ContentType="application/xml"/>
  <Override PartName="/customXml/itemProps3.xml" ContentType="application/vnd.openxmlformats-officedocument.customXmlProperties+xml"/>
  <Override PartName="/customXml/item4.xml" ContentType="application/xml"/>
  <Override PartName="/customXml/itemProps4.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rFonts w:ascii="Calibri" w:hAnsi="Calibri" w:cs="Arial"/>
          <w:i w:val="false"/>
          <w:i w:val="false"/>
          <w:iCs w:val="false"/>
          <w:color w:val="5B5B5F"/>
          <w:sz w:val="32"/>
          <w:szCs w:val="32"/>
        </w:rPr>
      </w:pPr>
      <w:r>
        <w:rPr>
          <w:rFonts w:cs="Arial" w:ascii="Calibri" w:hAnsi="Calibri"/>
          <w:i w:val="false"/>
          <w:iCs w:val="false"/>
          <w:color w:val="5B5B5F"/>
          <w:sz w:val="32"/>
          <w:szCs w:val="32"/>
        </w:rPr>
      </w:r>
    </w:p>
    <w:p>
      <w:pPr>
        <w:pStyle w:val="Normal"/>
        <w:rPr>
          <w:rFonts w:ascii="Calibri" w:hAnsi="Calibri" w:cs="Arial"/>
          <w:i w:val="false"/>
          <w:i w:val="false"/>
          <w:iCs w:val="false"/>
          <w:color w:val="5B5B5F"/>
          <w:sz w:val="32"/>
          <w:szCs w:val="32"/>
        </w:rPr>
      </w:pPr>
      <w:r>
        <w:rPr>
          <w:rFonts w:cs="Arial" w:ascii="Calibri" w:hAnsi="Calibri"/>
          <w:i w:val="false"/>
          <w:iCs w:val="false"/>
          <w:color w:val="5B5B5F"/>
          <w:sz w:val="32"/>
          <w:szCs w:val="32"/>
        </w:rPr>
      </w:r>
    </w:p>
    <w:p>
      <w:pPr>
        <w:pStyle w:val="Normal"/>
        <w:rPr>
          <w:rFonts w:ascii="Calibri" w:hAnsi="Calibri"/>
          <w:i w:val="false"/>
          <w:i w:val="false"/>
          <w:iCs w:val="false"/>
        </w:rPr>
      </w:pPr>
      <w:r>
        <w:rPr>
          <w:rFonts w:cs="Arial" w:ascii="Calibri" w:hAnsi="Calibri"/>
          <w:i w:val="false"/>
          <w:iCs w:val="false"/>
          <w:color w:val="5B5B5F"/>
          <w:sz w:val="36"/>
          <w:szCs w:val="36"/>
        </w:rPr>
        <w:t>Aviso de</w:t>
      </w:r>
      <w:r>
        <w:rPr>
          <w:rFonts w:cs="Arial" w:ascii="Calibri" w:hAnsi="Calibri"/>
          <w:i w:val="false"/>
          <w:iCs w:val="false"/>
          <w:color w:val="FF0000"/>
          <w:szCs w:val="18"/>
        </w:rPr>
        <w:t xml:space="preserve"> </w:t>
      </w:r>
    </w:p>
    <w:p>
      <w:pPr>
        <w:pStyle w:val="Normal"/>
        <w:rPr>
          <w:rFonts w:ascii="Calibri" w:hAnsi="Calibri"/>
          <w:i w:val="false"/>
          <w:i w:val="false"/>
          <w:iCs w:val="false"/>
        </w:rPr>
      </w:pPr>
      <w:r>
        <w:rPr>
          <w:rFonts w:cs="Arial" w:ascii="Calibri" w:hAnsi="Calibri"/>
          <w:i w:val="false"/>
          <w:iCs w:val="false"/>
          <w:color w:val="405CA1"/>
          <w:sz w:val="56"/>
          <w:szCs w:val="56"/>
        </w:rPr>
        <w:t xml:space="preserve">DISPENSA </w:t>
      </w:r>
    </w:p>
    <w:p>
      <w:pPr>
        <w:pStyle w:val="Normal"/>
        <w:rPr>
          <w:rFonts w:ascii="Calibri" w:hAnsi="Calibri"/>
          <w:i w:val="false"/>
          <w:i w:val="false"/>
          <w:iCs w:val="false"/>
        </w:rPr>
      </w:pPr>
      <w:r>
        <w:rPr>
          <w:rFonts w:cs="Arial" w:ascii="Calibri" w:hAnsi="Calibri"/>
          <w:i w:val="false"/>
          <w:iCs w:val="false"/>
          <w:color w:val="405CA1"/>
          <w:sz w:val="56"/>
          <w:szCs w:val="56"/>
        </w:rPr>
        <w:t>ELETRÔNICA</w:t>
      </w:r>
    </w:p>
    <w:p>
      <w:pPr>
        <w:pStyle w:val="Normal"/>
        <w:rPr>
          <w:rFonts w:ascii="Calibri" w:hAnsi="Calibri"/>
          <w:i w:val="false"/>
          <w:i w:val="false"/>
          <w:iCs w:val="false"/>
        </w:rPr>
      </w:pPr>
      <w:r>
        <w:rPr>
          <w:rFonts w:cs="Arial" w:ascii="Calibri" w:hAnsi="Calibri"/>
          <w:b/>
          <w:bCs/>
          <w:i w:val="false"/>
          <w:iCs w:val="false"/>
          <w:color w:val="5B5B5F"/>
          <w:sz w:val="32"/>
          <w:szCs w:val="32"/>
        </w:rPr>
        <w:t>30/2023</w:t>
      </w:r>
    </w:p>
    <w:p>
      <w:pPr>
        <w:pStyle w:val="Normal"/>
        <w:spacing w:lineRule="auto" w:line="259"/>
        <w:rPr>
          <w:rFonts w:ascii="Calibri" w:hAnsi="Calibri" w:cs="Arial"/>
          <w:b/>
          <w:b/>
          <w:bCs/>
          <w:i w:val="false"/>
          <w:i w:val="false"/>
          <w:iCs w:val="false"/>
          <w:color w:val="405CA1"/>
          <w:sz w:val="28"/>
          <w:szCs w:val="28"/>
        </w:rPr>
      </w:pPr>
      <w:r>
        <w:rPr>
          <w:rFonts w:cs="Arial" w:ascii="Calibri" w:hAnsi="Calibri"/>
          <w:b/>
          <w:bCs/>
          <w:i w:val="false"/>
          <w:iCs w:val="false"/>
          <w:color w:val="405CA1"/>
          <w:sz w:val="28"/>
          <w:szCs w:val="28"/>
        </w:rPr>
      </w:r>
    </w:p>
    <w:p>
      <w:pPr>
        <w:pStyle w:val="Normal"/>
        <w:spacing w:lineRule="auto" w:line="259"/>
        <w:rPr>
          <w:rFonts w:ascii="Calibri" w:hAnsi="Calibri" w:cs="Arial"/>
          <w:b/>
          <w:b/>
          <w:bCs/>
          <w:i w:val="false"/>
          <w:i w:val="false"/>
          <w:iCs w:val="false"/>
          <w:color w:val="405CA1"/>
          <w:sz w:val="28"/>
          <w:szCs w:val="28"/>
        </w:rPr>
      </w:pPr>
      <w:r>
        <w:rPr>
          <w:rFonts w:cs="Arial" w:ascii="Calibri" w:hAnsi="Calibri"/>
          <w:b/>
          <w:bCs/>
          <w:i w:val="false"/>
          <w:iCs w:val="false"/>
          <w:color w:val="405CA1"/>
          <w:sz w:val="28"/>
          <w:szCs w:val="28"/>
        </w:rPr>
      </w:r>
    </w:p>
    <w:p>
      <w:pPr>
        <w:pStyle w:val="Normal"/>
        <w:spacing w:lineRule="auto" w:line="259"/>
        <w:rPr>
          <w:rFonts w:ascii="Calibri" w:hAnsi="Calibri" w:cs="Arial"/>
          <w:b/>
          <w:b/>
          <w:bCs/>
          <w:i w:val="false"/>
          <w:i w:val="false"/>
          <w:iCs w:val="false"/>
          <w:color w:val="405CA1"/>
          <w:sz w:val="28"/>
          <w:szCs w:val="28"/>
        </w:rPr>
      </w:pPr>
      <w:r>
        <w:rPr>
          <w:rFonts w:cs="Arial" w:ascii="Calibri" w:hAnsi="Calibri"/>
          <w:b/>
          <w:bCs/>
          <w:i w:val="false"/>
          <w:iCs w:val="false"/>
          <w:color w:val="405CA1"/>
          <w:sz w:val="28"/>
          <w:szCs w:val="28"/>
        </w:rPr>
      </w:r>
    </w:p>
    <w:p>
      <w:pPr>
        <w:pStyle w:val="Normal"/>
        <w:spacing w:lineRule="auto" w:line="259"/>
        <w:rPr>
          <w:rFonts w:ascii="Calibri" w:hAnsi="Calibri"/>
          <w:i w:val="false"/>
          <w:i w:val="false"/>
          <w:iCs w:val="false"/>
        </w:rPr>
      </w:pPr>
      <w:r>
        <w:rPr>
          <w:rFonts w:cs="Arial" w:ascii="Calibri" w:hAnsi="Calibri"/>
          <w:b/>
          <w:bCs/>
          <w:i w:val="false"/>
          <w:iCs w:val="false"/>
          <w:color w:val="405CA1"/>
          <w:sz w:val="32"/>
          <w:szCs w:val="32"/>
        </w:rPr>
        <w:t>CONTRATANTE (UASG)</w:t>
      </w:r>
    </w:p>
    <w:p>
      <w:pPr>
        <w:pStyle w:val="Normal"/>
        <w:rPr>
          <w:rFonts w:ascii="Calibri" w:hAnsi="Calibri" w:eastAsia="Times New Roman" w:cs="Arial"/>
          <w:b/>
          <w:b/>
          <w:bCs/>
          <w:i w:val="false"/>
          <w:i w:val="false"/>
          <w:iCs w:val="false"/>
          <w:color w:val="5B5B5F"/>
          <w:sz w:val="28"/>
          <w:szCs w:val="28"/>
          <w:lang w:eastAsia="pt-BR"/>
        </w:rPr>
      </w:pPr>
      <w:r>
        <w:rPr>
          <w:rFonts w:eastAsia="Times New Roman" w:cs="Arial" w:ascii="Calibri" w:hAnsi="Calibri"/>
          <w:b/>
          <w:bCs/>
          <w:i w:val="false"/>
          <w:iCs w:val="false"/>
          <w:color w:val="5B5B5F"/>
          <w:sz w:val="28"/>
          <w:szCs w:val="28"/>
          <w:lang w:eastAsia="pt-BR"/>
        </w:rPr>
        <w:t>1º BATALHÃO FERROVIÁRIO (160447)</w:t>
      </w:r>
    </w:p>
    <w:p>
      <w:pPr>
        <w:pStyle w:val="Normal"/>
        <w:rPr>
          <w:rFonts w:ascii="Calibri" w:hAnsi="Calibri" w:cs="Arial"/>
          <w:i w:val="false"/>
          <w:i w:val="false"/>
          <w:iCs w:val="false"/>
          <w:color w:val="5B5B5F"/>
          <w:sz w:val="32"/>
          <w:szCs w:val="32"/>
        </w:rPr>
      </w:pPr>
      <w:r>
        <w:rPr>
          <w:rFonts w:cs="Arial" w:ascii="Calibri" w:hAnsi="Calibri"/>
          <w:i w:val="false"/>
          <w:iCs w:val="false"/>
          <w:color w:val="5B5B5F"/>
          <w:sz w:val="32"/>
          <w:szCs w:val="32"/>
        </w:rPr>
      </w:r>
    </w:p>
    <w:p>
      <w:pPr>
        <w:pStyle w:val="Normal"/>
        <w:rPr>
          <w:rFonts w:ascii="Calibri" w:hAnsi="Calibri"/>
          <w:i w:val="false"/>
          <w:i w:val="false"/>
          <w:iCs w:val="false"/>
        </w:rPr>
      </w:pPr>
      <w:r>
        <w:rPr>
          <w:rFonts w:cs="Arial" w:ascii="Calibri" w:hAnsi="Calibri"/>
          <w:b/>
          <w:bCs/>
          <w:i w:val="false"/>
          <w:iCs w:val="false"/>
          <w:color w:val="405CA1"/>
          <w:sz w:val="32"/>
          <w:szCs w:val="32"/>
        </w:rPr>
        <w:t>OBJETO</w:t>
      </w:r>
    </w:p>
    <w:p>
      <w:pPr>
        <w:pStyle w:val="Normal"/>
        <w:rPr>
          <w:rFonts w:ascii="Calibri" w:hAnsi="Calibri" w:eastAsia="Times New Roman" w:cs="Arial"/>
          <w:b/>
          <w:b/>
          <w:bCs/>
          <w:i w:val="false"/>
          <w:i w:val="false"/>
          <w:iCs w:val="false"/>
          <w:color w:val="5B5B5F"/>
          <w:sz w:val="24"/>
          <w:szCs w:val="24"/>
          <w:lang w:eastAsia="pt-BR"/>
        </w:rPr>
      </w:pPr>
      <w:r>
        <w:rPr>
          <w:rFonts w:eastAsia="Times New Roman" w:cs="Arial" w:ascii="Calibri" w:hAnsi="Calibri"/>
          <w:b/>
          <w:bCs/>
          <w:i w:val="false"/>
          <w:iCs w:val="false"/>
          <w:color w:val="5B5B5F"/>
          <w:sz w:val="24"/>
          <w:szCs w:val="24"/>
          <w:lang w:eastAsia="pt-BR"/>
        </w:rPr>
        <w:t>AQUISIÇÃO DE GÊNEROS ALIMENTÍCIOS</w:t>
      </w:r>
    </w:p>
    <w:p>
      <w:pPr>
        <w:pStyle w:val="Normal"/>
        <w:rPr>
          <w:rFonts w:ascii="Calibri" w:hAnsi="Calibri" w:cs="Arial"/>
          <w:i w:val="false"/>
          <w:i w:val="false"/>
          <w:iCs w:val="false"/>
          <w:color w:val="5B5B5F"/>
          <w:sz w:val="32"/>
          <w:szCs w:val="32"/>
        </w:rPr>
      </w:pPr>
      <w:r>
        <w:rPr>
          <w:rFonts w:cs="Arial" w:ascii="Calibri" w:hAnsi="Calibri"/>
          <w:i w:val="false"/>
          <w:iCs w:val="false"/>
          <w:color w:val="5B5B5F"/>
          <w:sz w:val="32"/>
          <w:szCs w:val="32"/>
        </w:rPr>
      </w:r>
    </w:p>
    <w:p>
      <w:pPr>
        <w:pStyle w:val="Normal"/>
        <w:rPr>
          <w:rFonts w:ascii="Calibri" w:hAnsi="Calibri"/>
          <w:i w:val="false"/>
          <w:i w:val="false"/>
          <w:iCs w:val="false"/>
        </w:rPr>
      </w:pPr>
      <w:r>
        <w:rPr>
          <w:rFonts w:cs="Arial" w:ascii="Calibri" w:hAnsi="Calibri"/>
          <w:b/>
          <w:bCs/>
          <w:i w:val="false"/>
          <w:iCs w:val="false"/>
          <w:color w:val="405CA1"/>
          <w:sz w:val="32"/>
          <w:szCs w:val="32"/>
        </w:rPr>
        <w:t>VALOR TOTAL DA CONTR</w:t>
      </w:r>
      <w:bookmarkStart w:id="0" w:name="_GoBack"/>
      <w:bookmarkEnd w:id="0"/>
      <w:r>
        <w:rPr>
          <w:rFonts w:cs="Arial" w:ascii="Calibri" w:hAnsi="Calibri"/>
          <w:b/>
          <w:bCs/>
          <w:i w:val="false"/>
          <w:iCs w:val="false"/>
          <w:color w:val="405CA1"/>
          <w:sz w:val="32"/>
          <w:szCs w:val="32"/>
        </w:rPr>
        <w:t>ATAÇÃO</w:t>
      </w:r>
    </w:p>
    <w:p>
      <w:pPr>
        <w:pStyle w:val="Normal"/>
        <w:rPr>
          <w:rFonts w:ascii="Calibri" w:hAnsi="Calibri"/>
          <w:i w:val="false"/>
          <w:i w:val="false"/>
          <w:iCs w:val="false"/>
        </w:rPr>
      </w:pPr>
      <w:r>
        <w:rPr>
          <w:rFonts w:cs="Arial" w:ascii="Calibri" w:hAnsi="Calibri"/>
          <w:b/>
          <w:bCs/>
          <w:i w:val="false"/>
          <w:iCs w:val="false"/>
          <w:color w:val="5B5B5F"/>
          <w:sz w:val="28"/>
          <w:szCs w:val="28"/>
        </w:rPr>
        <w:t>R$ 9.284</w:t>
      </w:r>
      <w:r>
        <w:rPr>
          <w:rFonts w:eastAsia="Times New Roman" w:cs="Arial" w:ascii="Calibri" w:hAnsi="Calibri"/>
          <w:b/>
          <w:bCs/>
          <w:i w:val="false"/>
          <w:iCs w:val="false"/>
          <w:color w:val="5B5B5F"/>
          <w:sz w:val="28"/>
          <w:szCs w:val="28"/>
          <w:lang w:eastAsia="pt-BR"/>
        </w:rPr>
        <w:t>,80</w:t>
      </w:r>
    </w:p>
    <w:p>
      <w:pPr>
        <w:pStyle w:val="Normal"/>
        <w:rPr>
          <w:rFonts w:ascii="Calibri" w:hAnsi="Calibri" w:cs="Arial"/>
          <w:i w:val="false"/>
          <w:i w:val="false"/>
          <w:iCs w:val="false"/>
          <w:color w:val="5B5B5F"/>
          <w:sz w:val="32"/>
          <w:szCs w:val="32"/>
        </w:rPr>
      </w:pPr>
      <w:r>
        <w:rPr>
          <w:rFonts w:cs="Arial" w:ascii="Calibri" w:hAnsi="Calibri"/>
          <w:i w:val="false"/>
          <w:iCs w:val="false"/>
          <w:color w:val="5B5B5F"/>
          <w:sz w:val="32"/>
          <w:szCs w:val="32"/>
        </w:rPr>
      </w:r>
    </w:p>
    <w:p>
      <w:pPr>
        <w:pStyle w:val="Normal"/>
        <w:rPr>
          <w:rFonts w:ascii="Calibri" w:hAnsi="Calibri"/>
          <w:i w:val="false"/>
          <w:i w:val="false"/>
          <w:iCs w:val="false"/>
        </w:rPr>
      </w:pPr>
      <w:r>
        <w:rPr>
          <w:rFonts w:cs="Arial" w:ascii="Calibri" w:hAnsi="Calibri"/>
          <w:b/>
          <w:bCs/>
          <w:i w:val="false"/>
          <w:iCs w:val="false"/>
          <w:color w:val="405CA1"/>
          <w:sz w:val="32"/>
          <w:szCs w:val="32"/>
        </w:rPr>
        <w:t xml:space="preserve">PERÍODO DE PROPOSTAS </w:t>
      </w:r>
    </w:p>
    <w:p>
      <w:pPr>
        <w:pStyle w:val="Normal"/>
        <w:rPr>
          <w:b/>
          <w:b/>
          <w:bCs/>
        </w:rPr>
      </w:pPr>
      <w:r>
        <w:rPr>
          <w:rFonts w:cs="Arial" w:ascii="Calibri" w:hAnsi="Calibri"/>
          <w:b/>
          <w:bCs/>
          <w:i w:val="false"/>
          <w:iCs w:val="false"/>
          <w:color w:val="5B5B5F"/>
          <w:sz w:val="28"/>
          <w:szCs w:val="28"/>
        </w:rPr>
        <w:t>De 2</w:t>
      </w:r>
      <w:r>
        <w:rPr>
          <w:rFonts w:cs="Arial" w:ascii="Calibri" w:hAnsi="Calibri"/>
          <w:b/>
          <w:bCs/>
          <w:i w:val="false"/>
          <w:iCs w:val="false"/>
          <w:color w:val="5B5B5F"/>
          <w:sz w:val="28"/>
          <w:szCs w:val="28"/>
        </w:rPr>
        <w:t>1</w:t>
      </w:r>
      <w:r>
        <w:rPr>
          <w:rFonts w:eastAsia="Times New Roman" w:cs="Arial" w:ascii="Calibri" w:hAnsi="Calibri"/>
          <w:b/>
          <w:bCs/>
          <w:i w:val="false"/>
          <w:iCs w:val="false"/>
          <w:color w:val="5B5B5F"/>
          <w:sz w:val="28"/>
          <w:szCs w:val="28"/>
          <w:lang w:eastAsia="pt-BR"/>
        </w:rPr>
        <w:t>/06/2023</w:t>
      </w:r>
      <w:r>
        <w:rPr>
          <w:rFonts w:cs="Arial" w:ascii="Calibri" w:hAnsi="Calibri"/>
          <w:b/>
          <w:bCs/>
          <w:i w:val="false"/>
          <w:iCs w:val="false"/>
          <w:color w:val="5B5B5F"/>
          <w:sz w:val="28"/>
          <w:szCs w:val="28"/>
        </w:rPr>
        <w:t xml:space="preserve"> às 8h </w:t>
      </w:r>
    </w:p>
    <w:p>
      <w:pPr>
        <w:pStyle w:val="Normal"/>
        <w:rPr/>
      </w:pPr>
      <w:r>
        <w:rPr>
          <w:rFonts w:cs="Arial" w:ascii="Calibri" w:hAnsi="Calibri"/>
          <w:b/>
          <w:bCs/>
          <w:i w:val="false"/>
          <w:iCs w:val="false"/>
          <w:color w:val="5B5B5F"/>
          <w:sz w:val="28"/>
          <w:szCs w:val="28"/>
        </w:rPr>
        <w:t>Até 26</w:t>
      </w:r>
      <w:r>
        <w:rPr>
          <w:rFonts w:eastAsia="Times New Roman" w:cs="Arial" w:ascii="Calibri" w:hAnsi="Calibri"/>
          <w:b/>
          <w:bCs/>
          <w:i w:val="false"/>
          <w:iCs w:val="false"/>
          <w:color w:val="5B5B5F"/>
          <w:sz w:val="28"/>
          <w:szCs w:val="28"/>
          <w:lang w:eastAsia="pt-BR"/>
        </w:rPr>
        <w:t>/06/2023</w:t>
      </w:r>
      <w:r>
        <w:rPr>
          <w:rFonts w:cs="Arial" w:ascii="Calibri" w:hAnsi="Calibri"/>
          <w:b/>
          <w:bCs/>
          <w:i w:val="false"/>
          <w:iCs w:val="false"/>
          <w:color w:val="5B5B5F"/>
          <w:sz w:val="28"/>
          <w:szCs w:val="28"/>
        </w:rPr>
        <w:t xml:space="preserve"> às 8h</w:t>
      </w:r>
    </w:p>
    <w:p>
      <w:pPr>
        <w:pStyle w:val="Normal"/>
        <w:rPr>
          <w:rFonts w:ascii="Calibri" w:hAnsi="Calibri" w:cs="Arial"/>
          <w:i w:val="false"/>
          <w:i w:val="false"/>
          <w:iCs w:val="false"/>
          <w:color w:val="5B5B5F"/>
          <w:sz w:val="32"/>
          <w:szCs w:val="32"/>
        </w:rPr>
      </w:pPr>
      <w:r>
        <w:rPr>
          <w:rFonts w:cs="Arial" w:ascii="Calibri" w:hAnsi="Calibri"/>
          <w:i w:val="false"/>
          <w:iCs w:val="false"/>
          <w:color w:val="5B5B5F"/>
          <w:sz w:val="32"/>
          <w:szCs w:val="32"/>
        </w:rPr>
      </w:r>
    </w:p>
    <w:p>
      <w:pPr>
        <w:pStyle w:val="Normal"/>
        <w:rPr>
          <w:rFonts w:ascii="Calibri" w:hAnsi="Calibri"/>
          <w:i w:val="false"/>
          <w:i w:val="false"/>
          <w:iCs w:val="false"/>
        </w:rPr>
      </w:pPr>
      <w:r>
        <w:rPr>
          <w:rFonts w:cs="Arial" w:ascii="Calibri" w:hAnsi="Calibri"/>
          <w:b/>
          <w:bCs/>
          <w:i w:val="false"/>
          <w:iCs w:val="false"/>
          <w:color w:val="405CA1"/>
          <w:sz w:val="32"/>
          <w:szCs w:val="32"/>
        </w:rPr>
        <w:t>PERÍODO DE LANCES</w:t>
      </w:r>
    </w:p>
    <w:p>
      <w:pPr>
        <w:pStyle w:val="Normal"/>
        <w:rPr>
          <w:rFonts w:ascii="Calibri" w:hAnsi="Calibri"/>
          <w:i w:val="false"/>
          <w:i w:val="false"/>
          <w:iCs w:val="false"/>
        </w:rPr>
      </w:pPr>
      <w:r>
        <w:rPr>
          <w:rFonts w:cs="Arial" w:ascii="Calibri" w:hAnsi="Calibri"/>
          <w:i w:val="false"/>
          <w:iCs w:val="false"/>
          <w:color w:val="5B5B5F"/>
          <w:sz w:val="28"/>
          <w:szCs w:val="28"/>
        </w:rPr>
        <w:t xml:space="preserve">De </w:t>
      </w:r>
      <w:r>
        <w:rPr>
          <w:rFonts w:eastAsia="Times New Roman" w:cs="Arial" w:ascii="Calibri" w:hAnsi="Calibri"/>
          <w:b/>
          <w:bCs/>
          <w:i w:val="false"/>
          <w:iCs w:val="false"/>
          <w:color w:val="5B5B5F"/>
          <w:kern w:val="0"/>
          <w:sz w:val="28"/>
          <w:szCs w:val="28"/>
          <w:lang w:val="pt-BR" w:eastAsia="pt-BR" w:bidi="ar-SA"/>
        </w:rPr>
        <w:t>26</w:t>
      </w:r>
      <w:r>
        <w:rPr>
          <w:rFonts w:eastAsia="Times New Roman" w:cs="Arial" w:ascii="Calibri" w:hAnsi="Calibri"/>
          <w:b/>
          <w:bCs/>
          <w:i w:val="false"/>
          <w:iCs w:val="false"/>
          <w:color w:val="5B5B5F"/>
          <w:sz w:val="28"/>
          <w:szCs w:val="28"/>
          <w:lang w:eastAsia="pt-BR"/>
        </w:rPr>
        <w:t>/06/2023</w:t>
      </w:r>
      <w:r>
        <w:rPr>
          <w:rFonts w:cs="Arial" w:ascii="Calibri" w:hAnsi="Calibri"/>
          <w:b/>
          <w:bCs/>
          <w:i w:val="false"/>
          <w:iCs w:val="false"/>
          <w:color w:val="5B5B5F"/>
          <w:sz w:val="28"/>
          <w:szCs w:val="28"/>
        </w:rPr>
        <w:t xml:space="preserve"> </w:t>
      </w:r>
      <w:r>
        <w:rPr>
          <w:rFonts w:cs="Arial" w:ascii="Calibri" w:hAnsi="Calibri"/>
          <w:i w:val="false"/>
          <w:iCs w:val="false"/>
          <w:color w:val="5B5B5F"/>
          <w:sz w:val="28"/>
          <w:szCs w:val="28"/>
        </w:rPr>
        <w:t xml:space="preserve">às </w:t>
      </w:r>
      <w:r>
        <w:rPr>
          <w:rFonts w:cs="Arial" w:ascii="Calibri" w:hAnsi="Calibri"/>
          <w:b/>
          <w:bCs/>
          <w:i w:val="false"/>
          <w:iCs w:val="false"/>
          <w:color w:val="5B5B5F"/>
          <w:sz w:val="28"/>
          <w:szCs w:val="28"/>
        </w:rPr>
        <w:t>8h</w:t>
      </w:r>
    </w:p>
    <w:p>
      <w:pPr>
        <w:pStyle w:val="Normal"/>
        <w:rPr>
          <w:rFonts w:ascii="Calibri" w:hAnsi="Calibri"/>
          <w:i w:val="false"/>
          <w:i w:val="false"/>
          <w:iCs w:val="false"/>
        </w:rPr>
      </w:pPr>
      <w:r>
        <w:rPr>
          <w:rFonts w:cs="Arial" w:ascii="Calibri" w:hAnsi="Calibri"/>
          <w:i w:val="false"/>
          <w:iCs w:val="false"/>
          <w:color w:val="5B5B5F"/>
          <w:sz w:val="28"/>
          <w:szCs w:val="28"/>
        </w:rPr>
        <w:t xml:space="preserve">Até </w:t>
      </w:r>
      <w:r>
        <w:rPr>
          <w:rFonts w:eastAsia="Times New Roman" w:cs="Arial" w:ascii="Calibri" w:hAnsi="Calibri"/>
          <w:b/>
          <w:bCs/>
          <w:i w:val="false"/>
          <w:iCs w:val="false"/>
          <w:color w:val="5B5B5F"/>
          <w:kern w:val="0"/>
          <w:sz w:val="28"/>
          <w:szCs w:val="28"/>
          <w:lang w:val="pt-BR" w:eastAsia="pt-BR" w:bidi="ar-SA"/>
        </w:rPr>
        <w:t>26</w:t>
      </w:r>
      <w:r>
        <w:rPr>
          <w:rFonts w:eastAsia="Times New Roman" w:cs="Arial" w:ascii="Calibri" w:hAnsi="Calibri"/>
          <w:b/>
          <w:bCs/>
          <w:i w:val="false"/>
          <w:iCs w:val="false"/>
          <w:color w:val="5B5B5F"/>
          <w:sz w:val="28"/>
          <w:szCs w:val="28"/>
          <w:lang w:eastAsia="pt-BR"/>
        </w:rPr>
        <w:t>/0</w:t>
      </w:r>
      <w:r>
        <w:rPr>
          <w:rFonts w:eastAsia="Times New Roman" w:cs="Arial" w:ascii="Calibri" w:hAnsi="Calibri"/>
          <w:b/>
          <w:bCs/>
          <w:i w:val="false"/>
          <w:iCs w:val="false"/>
          <w:color w:val="5B5B5F"/>
          <w:kern w:val="0"/>
          <w:sz w:val="28"/>
          <w:szCs w:val="28"/>
          <w:lang w:val="pt-BR" w:eastAsia="pt-BR" w:bidi="ar-SA"/>
        </w:rPr>
        <w:t>6</w:t>
      </w:r>
      <w:r>
        <w:rPr>
          <w:rFonts w:eastAsia="Times New Roman" w:cs="Arial" w:ascii="Calibri" w:hAnsi="Calibri"/>
          <w:b/>
          <w:bCs/>
          <w:i w:val="false"/>
          <w:iCs w:val="false"/>
          <w:color w:val="5B5B5F"/>
          <w:sz w:val="28"/>
          <w:szCs w:val="28"/>
          <w:lang w:eastAsia="pt-BR"/>
        </w:rPr>
        <w:t xml:space="preserve">/2023 </w:t>
      </w:r>
      <w:r>
        <w:rPr>
          <w:rFonts w:cs="Arial" w:ascii="Calibri" w:hAnsi="Calibri"/>
          <w:i w:val="false"/>
          <w:iCs w:val="false"/>
          <w:color w:val="5B5B5F"/>
          <w:sz w:val="28"/>
          <w:szCs w:val="28"/>
        </w:rPr>
        <w:t xml:space="preserve">às </w:t>
      </w:r>
      <w:r>
        <w:rPr>
          <w:rFonts w:cs="Arial" w:ascii="Calibri" w:hAnsi="Calibri"/>
          <w:b/>
          <w:bCs/>
          <w:i w:val="false"/>
          <w:iCs w:val="false"/>
          <w:color w:val="5B5B5F"/>
          <w:sz w:val="28"/>
          <w:szCs w:val="28"/>
        </w:rPr>
        <w:t>14h</w:t>
      </w:r>
    </w:p>
    <w:p>
      <w:pPr>
        <w:pStyle w:val="Normal"/>
        <w:rPr>
          <w:rFonts w:ascii="Calibri" w:hAnsi="Calibri" w:cs="Arial"/>
          <w:b/>
          <w:b/>
          <w:bCs/>
          <w:i w:val="false"/>
          <w:i w:val="false"/>
          <w:iCs w:val="false"/>
          <w:color w:val="405CA1"/>
          <w:sz w:val="32"/>
          <w:szCs w:val="32"/>
        </w:rPr>
      </w:pPr>
      <w:r>
        <w:rPr>
          <w:rFonts w:cs="Arial" w:ascii="Calibri" w:hAnsi="Calibri"/>
          <w:b/>
          <w:bCs/>
          <w:i w:val="false"/>
          <w:iCs w:val="false"/>
          <w:color w:val="405CA1"/>
          <w:sz w:val="32"/>
          <w:szCs w:val="32"/>
        </w:rPr>
      </w:r>
    </w:p>
    <w:p>
      <w:pPr>
        <w:pStyle w:val="Normal"/>
        <w:rPr>
          <w:rFonts w:ascii="Calibri" w:hAnsi="Calibri"/>
          <w:i w:val="false"/>
          <w:i w:val="false"/>
          <w:iCs w:val="false"/>
        </w:rPr>
      </w:pPr>
      <w:r>
        <w:rPr>
          <w:rFonts w:cs="Arial" w:ascii="Calibri" w:hAnsi="Calibri"/>
          <w:b/>
          <w:bCs/>
          <w:i w:val="false"/>
          <w:iCs w:val="false"/>
          <w:color w:val="405CA1"/>
          <w:sz w:val="32"/>
          <w:szCs w:val="32"/>
        </w:rPr>
        <w:t>PREFERÊNCIA ME/EPP/EQUIPARADAS</w:t>
      </w:r>
    </w:p>
    <w:p>
      <w:pPr>
        <w:pStyle w:val="Normal"/>
        <w:rPr>
          <w:rFonts w:ascii="Calibri" w:hAnsi="Calibri"/>
          <w:i w:val="false"/>
          <w:i w:val="false"/>
          <w:iCs w:val="false"/>
        </w:rPr>
      </w:pPr>
      <w:r>
        <w:rPr>
          <w:rFonts w:cs="Arial" w:ascii="Calibri" w:hAnsi="Calibri"/>
          <w:b/>
          <w:bCs/>
          <w:i w:val="false"/>
          <w:iCs w:val="false"/>
          <w:color w:val="5B5B5F"/>
          <w:sz w:val="28"/>
          <w:szCs w:val="28"/>
        </w:rPr>
        <w:t>SIM</w:t>
      </w:r>
    </w:p>
    <w:p>
      <w:pPr>
        <w:pStyle w:val="Normal"/>
        <w:spacing w:lineRule="auto" w:line="259" w:before="0" w:after="160"/>
        <w:rPr>
          <w:rFonts w:ascii="Calibri" w:hAnsi="Calibri" w:cs="Arial"/>
          <w:i w:val="false"/>
          <w:i w:val="false"/>
          <w:iCs w:val="false"/>
          <w:color w:val="FF0000"/>
          <w:sz w:val="22"/>
          <w:szCs w:val="22"/>
        </w:rPr>
      </w:pPr>
      <w:r>
        <w:rPr>
          <w:rFonts w:cs="Arial" w:ascii="Calibri" w:hAnsi="Calibri"/>
          <w:i w:val="false"/>
          <w:iCs w:val="false"/>
          <w:color w:val="FF0000"/>
          <w:sz w:val="22"/>
          <w:szCs w:val="22"/>
        </w:rPr>
      </w:r>
    </w:p>
    <w:p>
      <w:pPr>
        <w:pStyle w:val="Normal"/>
        <w:spacing w:lineRule="auto" w:line="276"/>
        <w:jc w:val="center"/>
        <w:rPr>
          <w:rFonts w:ascii="Calibri" w:hAnsi="Calibri" w:cs="Arial"/>
          <w:i w:val="false"/>
          <w:i w:val="false"/>
          <w:iCs w:val="false"/>
          <w:color w:val="FF0000"/>
          <w:sz w:val="22"/>
          <w:szCs w:val="22"/>
        </w:rPr>
      </w:pPr>
      <w:r>
        <w:rPr>
          <w:rFonts w:cs="Arial" w:ascii="Calibri" w:hAnsi="Calibri"/>
          <w:i w:val="false"/>
          <w:iCs w:val="false"/>
          <w:color w:val="FF0000"/>
          <w:sz w:val="22"/>
          <w:szCs w:val="22"/>
        </w:rPr>
      </w:r>
    </w:p>
    <w:p>
      <w:pPr>
        <w:pStyle w:val="Normal"/>
        <w:spacing w:lineRule="auto" w:line="259" w:before="0" w:after="160"/>
        <w:rPr>
          <w:rFonts w:ascii="Calibri" w:hAnsi="Calibri" w:cs="Arial"/>
          <w:i w:val="false"/>
          <w:i w:val="false"/>
          <w:iCs w:val="false"/>
          <w:color w:val="FF0000"/>
          <w:sz w:val="22"/>
          <w:szCs w:val="22"/>
        </w:rPr>
      </w:pPr>
      <w:r>
        <w:rPr>
          <w:rFonts w:cs="Arial" w:ascii="Calibri" w:hAnsi="Calibri"/>
          <w:i w:val="false"/>
          <w:iCs w:val="false"/>
          <w:color w:val="FF0000"/>
          <w:sz w:val="22"/>
          <w:szCs w:val="22"/>
        </w:rPr>
      </w:r>
    </w:p>
    <w:sdt>
      <w:sdtPr>
        <w:docPartObj>
          <w:docPartGallery w:val="Table of Contents"/>
          <w:docPartUnique w:val="true"/>
        </w:docPartObj>
      </w:sdtPr>
      <w:sdtContent>
        <w:p>
          <w:pPr>
            <w:pStyle w:val="TOCHeading"/>
            <w:rPr>
              <w:rFonts w:ascii="Calibri" w:hAnsi="Calibri"/>
              <w:i w:val="false"/>
              <w:i w:val="false"/>
              <w:iCs w:val="false"/>
            </w:rPr>
          </w:pPr>
          <w:r>
            <w:br w:type="page"/>
          </w:r>
          <w:r>
            <w:rPr>
              <w:rFonts w:cs="Arial" w:ascii="Calibri" w:hAnsi="Calibri"/>
              <w:i w:val="false"/>
              <w:iCs w:val="false"/>
              <w:sz w:val="22"/>
              <w:szCs w:val="22"/>
            </w:rPr>
            <w:t>Sumário</w:t>
          </w:r>
        </w:p>
        <w:p>
          <w:pPr>
            <w:pStyle w:val="Normal"/>
            <w:rPr>
              <w:rFonts w:ascii="Calibri" w:hAnsi="Calibri"/>
              <w:i w:val="false"/>
              <w:i w:val="false"/>
              <w:iCs w:val="false"/>
            </w:rPr>
          </w:pPr>
          <w:r>
            <w:rPr>
              <w:rFonts w:ascii="Calibri" w:hAnsi="Calibri"/>
              <w:i w:val="false"/>
              <w:iCs w:val="false"/>
            </w:rPr>
          </w:r>
        </w:p>
        <w:p>
          <w:pPr>
            <w:pStyle w:val="Sumrio1"/>
            <w:tabs>
              <w:tab w:val="clear" w:pos="708"/>
              <w:tab w:val="left" w:pos="440" w:leader="none"/>
              <w:tab w:val="right" w:pos="9736" w:leader="dot"/>
            </w:tabs>
            <w:rPr/>
          </w:pPr>
          <w:r>
            <w:fldChar w:fldCharType="begin"/>
          </w:r>
          <w:r>
            <w:rPr>
              <w:webHidden/>
              <w:rStyle w:val="Vnculodendice"/>
              <w:sz w:val="22"/>
              <w:i w:val="false"/>
              <w:b/>
              <w:szCs w:val="22"/>
              <w:iCs w:val="false"/>
              <w:vanish w:val="false"/>
              <w:rFonts w:eastAsia="Calibri" w:cs="Arial" w:ascii="Calibri" w:hAnsi="Calibri"/>
            </w:rPr>
            <w:instrText> TOC \z \o "1-3" \u \h</w:instrText>
          </w:r>
          <w:r>
            <w:rPr>
              <w:webHidden/>
              <w:rStyle w:val="Vnculodendice"/>
              <w:sz w:val="22"/>
              <w:i w:val="false"/>
              <w:b/>
              <w:szCs w:val="22"/>
              <w:iCs w:val="false"/>
              <w:vanish w:val="false"/>
              <w:rFonts w:eastAsia="Calibri" w:cs="Arial" w:ascii="Calibri" w:hAnsi="Calibri"/>
            </w:rPr>
            <w:fldChar w:fldCharType="separate"/>
          </w:r>
          <w:hyperlink w:anchor="_Toc104906818">
            <w:r>
              <w:rPr>
                <w:webHidden/>
                <w:rStyle w:val="Vnculodendice"/>
                <w:rFonts w:eastAsia="Calibri" w:cs="Arial" w:ascii="Calibri" w:hAnsi="Calibri"/>
                <w:b/>
                <w:i w:val="false"/>
                <w:iCs w:val="false"/>
                <w:vanish w:val="false"/>
                <w:sz w:val="22"/>
                <w:szCs w:val="22"/>
              </w:rPr>
              <w:t>1.</w:t>
            </w:r>
            <w:r>
              <w:rPr>
                <w:rStyle w:val="Vnculodendice"/>
                <w:rFonts w:eastAsia="" w:cs="Arial" w:ascii="Calibri" w:hAnsi="Calibri" w:eastAsiaTheme="minorEastAsia"/>
                <w:i w:val="false"/>
                <w:iCs w:val="false"/>
                <w:sz w:val="22"/>
                <w:szCs w:val="22"/>
              </w:rPr>
              <w:tab/>
            </w:r>
            <w:r>
              <w:rPr>
                <w:rStyle w:val="Vnculodendice"/>
                <w:rFonts w:eastAsia="Calibri" w:cs="Arial" w:ascii="Calibri" w:hAnsi="Calibri"/>
                <w:i w:val="false"/>
                <w:iCs w:val="false"/>
                <w:sz w:val="22"/>
                <w:szCs w:val="22"/>
              </w:rPr>
              <w:t>OBJETO DA CONTRATAÇÃO DIRETA</w:t>
            </w:r>
            <w:r>
              <w:rPr>
                <w:webHidden/>
              </w:rPr>
              <w:fldChar w:fldCharType="begin"/>
            </w:r>
            <w:r>
              <w:rPr>
                <w:webHidden/>
              </w:rPr>
              <w:instrText>PAGEREF _Toc104906818 \h</w:instrText>
            </w:r>
            <w:r>
              <w:rPr>
                <w:webHidden/>
              </w:rPr>
              <w:fldChar w:fldCharType="separate"/>
            </w:r>
            <w:r>
              <w:rPr>
                <w:rStyle w:val="Vnculodendice"/>
                <w:rFonts w:cs="Arial" w:ascii="Calibri" w:hAnsi="Calibri"/>
                <w:i w:val="false"/>
                <w:iCs w:val="false"/>
                <w:vanish w:val="false"/>
                <w:sz w:val="22"/>
                <w:szCs w:val="22"/>
              </w:rPr>
              <w:tab/>
              <w:t>3</w:t>
            </w:r>
            <w:r>
              <w:rPr>
                <w:webHidden/>
              </w:rPr>
              <w:fldChar w:fldCharType="end"/>
            </w:r>
          </w:hyperlink>
        </w:p>
        <w:p>
          <w:pPr>
            <w:pStyle w:val="Sumrio1"/>
            <w:tabs>
              <w:tab w:val="clear" w:pos="708"/>
              <w:tab w:val="left" w:pos="440" w:leader="none"/>
              <w:tab w:val="right" w:pos="9736" w:leader="dot"/>
            </w:tabs>
            <w:rPr/>
          </w:pPr>
          <w:hyperlink w:anchor="_Toc104906819">
            <w:r>
              <w:rPr>
                <w:webHidden/>
                <w:rStyle w:val="Vnculodendice"/>
                <w:rFonts w:eastAsia="Calibri" w:cs="Arial" w:ascii="Calibri" w:hAnsi="Calibri"/>
                <w:b/>
                <w:i w:val="false"/>
                <w:iCs w:val="false"/>
                <w:vanish w:val="false"/>
                <w:sz w:val="22"/>
                <w:szCs w:val="22"/>
              </w:rPr>
              <w:t>2.</w:t>
            </w:r>
            <w:r>
              <w:rPr>
                <w:rStyle w:val="Vnculodendice"/>
                <w:rFonts w:eastAsia="" w:cs="Arial" w:ascii="Calibri" w:hAnsi="Calibri" w:eastAsiaTheme="minorEastAsia"/>
                <w:i w:val="false"/>
                <w:iCs w:val="false"/>
                <w:sz w:val="22"/>
                <w:szCs w:val="22"/>
              </w:rPr>
              <w:tab/>
            </w:r>
            <w:r>
              <w:rPr>
                <w:rStyle w:val="Vnculodendice"/>
                <w:rFonts w:eastAsia="Calibri" w:cs="Arial" w:ascii="Calibri" w:hAnsi="Calibri"/>
                <w:i w:val="false"/>
                <w:iCs w:val="false"/>
                <w:sz w:val="22"/>
                <w:szCs w:val="22"/>
              </w:rPr>
              <w:t>PARTICIPAÇÃO NA DISPENSA ELETRÔNICA.</w:t>
            </w:r>
            <w:r>
              <w:rPr>
                <w:webHidden/>
              </w:rPr>
              <w:fldChar w:fldCharType="begin"/>
            </w:r>
            <w:r>
              <w:rPr>
                <w:webHidden/>
              </w:rPr>
              <w:instrText>PAGEREF _Toc104906819 \h</w:instrText>
            </w:r>
            <w:r>
              <w:rPr>
                <w:webHidden/>
              </w:rPr>
              <w:fldChar w:fldCharType="separate"/>
            </w:r>
            <w:r>
              <w:rPr>
                <w:rStyle w:val="Vnculodendice"/>
                <w:rFonts w:cs="Arial" w:ascii="Calibri" w:hAnsi="Calibri"/>
                <w:i w:val="false"/>
                <w:iCs w:val="false"/>
                <w:vanish w:val="false"/>
                <w:sz w:val="22"/>
                <w:szCs w:val="22"/>
              </w:rPr>
              <w:tab/>
              <w:t>4</w:t>
            </w:r>
            <w:r>
              <w:rPr>
                <w:webHidden/>
              </w:rPr>
              <w:fldChar w:fldCharType="end"/>
            </w:r>
          </w:hyperlink>
        </w:p>
        <w:p>
          <w:pPr>
            <w:pStyle w:val="Sumrio1"/>
            <w:tabs>
              <w:tab w:val="clear" w:pos="708"/>
              <w:tab w:val="left" w:pos="440" w:leader="none"/>
              <w:tab w:val="right" w:pos="9736" w:leader="dot"/>
            </w:tabs>
            <w:rPr/>
          </w:pPr>
          <w:hyperlink w:anchor="_Toc104906820">
            <w:r>
              <w:rPr>
                <w:webHidden/>
                <w:rStyle w:val="Vnculodendice"/>
                <w:rFonts w:eastAsia="Calibri" w:cs="Arial" w:ascii="Calibri" w:hAnsi="Calibri"/>
                <w:b/>
                <w:i w:val="false"/>
                <w:iCs w:val="false"/>
                <w:vanish w:val="false"/>
                <w:sz w:val="22"/>
                <w:szCs w:val="22"/>
              </w:rPr>
              <w:t>3.</w:t>
            </w:r>
            <w:r>
              <w:rPr>
                <w:rStyle w:val="Vnculodendice"/>
                <w:rFonts w:eastAsia="" w:cs="Arial" w:ascii="Calibri" w:hAnsi="Calibri" w:eastAsiaTheme="minorEastAsia"/>
                <w:i w:val="false"/>
                <w:iCs w:val="false"/>
                <w:sz w:val="22"/>
                <w:szCs w:val="22"/>
              </w:rPr>
              <w:tab/>
            </w:r>
            <w:r>
              <w:rPr>
                <w:rStyle w:val="Vnculodendice"/>
                <w:rFonts w:eastAsia="Calibri" w:cs="Arial" w:ascii="Calibri" w:hAnsi="Calibri"/>
                <w:i w:val="false"/>
                <w:iCs w:val="false"/>
                <w:sz w:val="22"/>
                <w:szCs w:val="22"/>
              </w:rPr>
              <w:t>INGRESSO NA DISPENSA ELETRÔNICA E CADASTRAMENTO DA PROPOSTA INICIAL</w:t>
            </w:r>
            <w:r>
              <w:rPr>
                <w:webHidden/>
              </w:rPr>
              <w:fldChar w:fldCharType="begin"/>
            </w:r>
            <w:r>
              <w:rPr>
                <w:webHidden/>
              </w:rPr>
              <w:instrText>PAGEREF _Toc104906820 \h</w:instrText>
            </w:r>
            <w:r>
              <w:rPr>
                <w:webHidden/>
              </w:rPr>
              <w:fldChar w:fldCharType="separate"/>
            </w:r>
            <w:r>
              <w:rPr>
                <w:rStyle w:val="Vnculodendice"/>
                <w:rFonts w:cs="Arial" w:ascii="Calibri" w:hAnsi="Calibri"/>
                <w:i w:val="false"/>
                <w:iCs w:val="false"/>
                <w:vanish w:val="false"/>
                <w:sz w:val="22"/>
                <w:szCs w:val="22"/>
              </w:rPr>
              <w:tab/>
              <w:t>5</w:t>
            </w:r>
            <w:r>
              <w:rPr>
                <w:webHidden/>
              </w:rPr>
              <w:fldChar w:fldCharType="end"/>
            </w:r>
          </w:hyperlink>
        </w:p>
        <w:p>
          <w:pPr>
            <w:pStyle w:val="Sumrio1"/>
            <w:tabs>
              <w:tab w:val="clear" w:pos="708"/>
              <w:tab w:val="left" w:pos="440" w:leader="none"/>
              <w:tab w:val="right" w:pos="9736" w:leader="dot"/>
            </w:tabs>
            <w:rPr/>
          </w:pPr>
          <w:hyperlink w:anchor="_Toc104906821">
            <w:r>
              <w:rPr>
                <w:webHidden/>
                <w:rStyle w:val="Vnculodendice"/>
                <w:rFonts w:eastAsia="Calibri" w:cs="Arial" w:ascii="Calibri" w:hAnsi="Calibri"/>
                <w:b/>
                <w:i w:val="false"/>
                <w:iCs w:val="false"/>
                <w:vanish w:val="false"/>
                <w:sz w:val="22"/>
                <w:szCs w:val="22"/>
              </w:rPr>
              <w:t>4.</w:t>
            </w:r>
            <w:r>
              <w:rPr>
                <w:rStyle w:val="Vnculodendice"/>
                <w:rFonts w:eastAsia="" w:cs="Arial" w:ascii="Calibri" w:hAnsi="Calibri" w:eastAsiaTheme="minorEastAsia"/>
                <w:i w:val="false"/>
                <w:iCs w:val="false"/>
                <w:sz w:val="22"/>
                <w:szCs w:val="22"/>
              </w:rPr>
              <w:tab/>
            </w:r>
            <w:r>
              <w:rPr>
                <w:rStyle w:val="Vnculodendice"/>
                <w:rFonts w:eastAsia="Calibri" w:cs="Arial" w:ascii="Calibri" w:hAnsi="Calibri"/>
                <w:i w:val="false"/>
                <w:iCs w:val="false"/>
                <w:sz w:val="22"/>
                <w:szCs w:val="22"/>
              </w:rPr>
              <w:t>FASE DE LANCES</w:t>
            </w:r>
            <w:r>
              <w:rPr>
                <w:webHidden/>
              </w:rPr>
              <w:fldChar w:fldCharType="begin"/>
            </w:r>
            <w:r>
              <w:rPr>
                <w:webHidden/>
              </w:rPr>
              <w:instrText>PAGEREF _Toc104906821 \h</w:instrText>
            </w:r>
            <w:r>
              <w:rPr>
                <w:webHidden/>
              </w:rPr>
              <w:fldChar w:fldCharType="separate"/>
            </w:r>
            <w:r>
              <w:rPr>
                <w:rStyle w:val="Vnculodendice"/>
                <w:rFonts w:cs="Arial" w:ascii="Calibri" w:hAnsi="Calibri"/>
                <w:i w:val="false"/>
                <w:iCs w:val="false"/>
                <w:vanish w:val="false"/>
                <w:sz w:val="22"/>
                <w:szCs w:val="22"/>
              </w:rPr>
              <w:tab/>
              <w:t>7</w:t>
            </w:r>
            <w:r>
              <w:rPr>
                <w:webHidden/>
              </w:rPr>
              <w:fldChar w:fldCharType="end"/>
            </w:r>
          </w:hyperlink>
        </w:p>
        <w:p>
          <w:pPr>
            <w:pStyle w:val="Sumrio1"/>
            <w:tabs>
              <w:tab w:val="clear" w:pos="708"/>
              <w:tab w:val="left" w:pos="440" w:leader="none"/>
              <w:tab w:val="right" w:pos="9736" w:leader="dot"/>
            </w:tabs>
            <w:rPr/>
          </w:pPr>
          <w:hyperlink w:anchor="_Toc104906822">
            <w:r>
              <w:rPr>
                <w:webHidden/>
                <w:rStyle w:val="Vnculodendice"/>
                <w:rFonts w:eastAsia="Calibri" w:cs="Arial" w:ascii="Calibri" w:hAnsi="Calibri"/>
                <w:b/>
                <w:i w:val="false"/>
                <w:iCs w:val="false"/>
                <w:vanish w:val="false"/>
                <w:sz w:val="22"/>
                <w:szCs w:val="22"/>
              </w:rPr>
              <w:t>5.</w:t>
            </w:r>
            <w:r>
              <w:rPr>
                <w:rStyle w:val="Vnculodendice"/>
                <w:rFonts w:eastAsia="" w:cs="Arial" w:ascii="Calibri" w:hAnsi="Calibri" w:eastAsiaTheme="minorEastAsia"/>
                <w:i w:val="false"/>
                <w:iCs w:val="false"/>
                <w:sz w:val="22"/>
                <w:szCs w:val="22"/>
              </w:rPr>
              <w:tab/>
            </w:r>
            <w:r>
              <w:rPr>
                <w:rStyle w:val="Vnculodendice"/>
                <w:rFonts w:eastAsia="Calibri" w:cs="Arial" w:ascii="Calibri" w:hAnsi="Calibri"/>
                <w:i w:val="false"/>
                <w:iCs w:val="false"/>
                <w:sz w:val="22"/>
                <w:szCs w:val="22"/>
              </w:rPr>
              <w:t>JULGAMENTO DAS PROPOSTAS DE PREÇO</w:t>
            </w:r>
            <w:r>
              <w:rPr>
                <w:webHidden/>
              </w:rPr>
              <w:fldChar w:fldCharType="begin"/>
            </w:r>
            <w:r>
              <w:rPr>
                <w:webHidden/>
              </w:rPr>
              <w:instrText>PAGEREF _Toc104906822 \h</w:instrText>
            </w:r>
            <w:r>
              <w:rPr>
                <w:webHidden/>
              </w:rPr>
              <w:fldChar w:fldCharType="separate"/>
            </w:r>
            <w:r>
              <w:rPr>
                <w:rStyle w:val="Vnculodendice"/>
                <w:rFonts w:cs="Arial" w:ascii="Calibri" w:hAnsi="Calibri"/>
                <w:i w:val="false"/>
                <w:iCs w:val="false"/>
                <w:vanish w:val="false"/>
                <w:sz w:val="22"/>
                <w:szCs w:val="22"/>
              </w:rPr>
              <w:tab/>
              <w:t>8</w:t>
            </w:r>
            <w:r>
              <w:rPr>
                <w:webHidden/>
              </w:rPr>
              <w:fldChar w:fldCharType="end"/>
            </w:r>
          </w:hyperlink>
        </w:p>
        <w:p>
          <w:pPr>
            <w:pStyle w:val="Sumrio1"/>
            <w:tabs>
              <w:tab w:val="clear" w:pos="708"/>
              <w:tab w:val="left" w:pos="440" w:leader="none"/>
              <w:tab w:val="right" w:pos="9736" w:leader="dot"/>
            </w:tabs>
            <w:rPr/>
          </w:pPr>
          <w:hyperlink w:anchor="_Toc104906823">
            <w:r>
              <w:rPr>
                <w:webHidden/>
                <w:rStyle w:val="Vnculodendice"/>
                <w:rFonts w:eastAsia="Calibri" w:cs="Arial" w:ascii="Calibri" w:hAnsi="Calibri"/>
                <w:b/>
                <w:i w:val="false"/>
                <w:iCs w:val="false"/>
                <w:vanish w:val="false"/>
                <w:sz w:val="22"/>
                <w:szCs w:val="22"/>
              </w:rPr>
              <w:t>6.</w:t>
            </w:r>
            <w:r>
              <w:rPr>
                <w:rStyle w:val="Vnculodendice"/>
                <w:rFonts w:eastAsia="" w:cs="Arial" w:ascii="Calibri" w:hAnsi="Calibri" w:eastAsiaTheme="minorEastAsia"/>
                <w:i w:val="false"/>
                <w:iCs w:val="false"/>
                <w:sz w:val="22"/>
                <w:szCs w:val="22"/>
              </w:rPr>
              <w:tab/>
            </w:r>
            <w:r>
              <w:rPr>
                <w:rStyle w:val="Vnculodendice"/>
                <w:rFonts w:eastAsia="Calibri" w:cs="Arial" w:ascii="Calibri" w:hAnsi="Calibri"/>
                <w:i w:val="false"/>
                <w:iCs w:val="false"/>
                <w:sz w:val="22"/>
                <w:szCs w:val="22"/>
              </w:rPr>
              <w:t>HABILITAÇÃO</w:t>
            </w:r>
            <w:r>
              <w:rPr>
                <w:webHidden/>
              </w:rPr>
              <w:fldChar w:fldCharType="begin"/>
            </w:r>
            <w:r>
              <w:rPr>
                <w:webHidden/>
              </w:rPr>
              <w:instrText>PAGEREF _Toc104906823 \h</w:instrText>
            </w:r>
            <w:r>
              <w:rPr>
                <w:webHidden/>
              </w:rPr>
              <w:fldChar w:fldCharType="separate"/>
            </w:r>
            <w:r>
              <w:rPr>
                <w:rStyle w:val="Vnculodendice"/>
                <w:rFonts w:cs="Arial" w:ascii="Calibri" w:hAnsi="Calibri"/>
                <w:i w:val="false"/>
                <w:iCs w:val="false"/>
                <w:vanish w:val="false"/>
                <w:sz w:val="22"/>
                <w:szCs w:val="22"/>
              </w:rPr>
              <w:tab/>
              <w:t>10</w:t>
            </w:r>
            <w:r>
              <w:rPr>
                <w:webHidden/>
              </w:rPr>
              <w:fldChar w:fldCharType="end"/>
            </w:r>
          </w:hyperlink>
        </w:p>
        <w:p>
          <w:pPr>
            <w:pStyle w:val="Sumrio1"/>
            <w:tabs>
              <w:tab w:val="clear" w:pos="708"/>
              <w:tab w:val="left" w:pos="440" w:leader="none"/>
              <w:tab w:val="right" w:pos="9736" w:leader="dot"/>
            </w:tabs>
            <w:rPr/>
          </w:pPr>
          <w:hyperlink w:anchor="_Toc104906824">
            <w:r>
              <w:rPr>
                <w:webHidden/>
                <w:rStyle w:val="Vnculodendice"/>
                <w:rFonts w:eastAsia="Calibri" w:cs="Arial" w:ascii="Calibri" w:hAnsi="Calibri"/>
                <w:b/>
                <w:i w:val="false"/>
                <w:iCs w:val="false"/>
                <w:vanish w:val="false"/>
                <w:sz w:val="22"/>
                <w:szCs w:val="22"/>
              </w:rPr>
              <w:t>7.</w:t>
            </w:r>
            <w:r>
              <w:rPr>
                <w:rStyle w:val="Vnculodendice"/>
                <w:rFonts w:eastAsia="" w:cs="Arial" w:ascii="Calibri" w:hAnsi="Calibri" w:eastAsiaTheme="minorEastAsia"/>
                <w:i w:val="false"/>
                <w:iCs w:val="false"/>
                <w:sz w:val="22"/>
                <w:szCs w:val="22"/>
              </w:rPr>
              <w:tab/>
            </w:r>
            <w:r>
              <w:rPr>
                <w:rStyle w:val="Vnculodendice"/>
                <w:rFonts w:eastAsia="Calibri" w:cs="Arial" w:ascii="Calibri" w:hAnsi="Calibri"/>
                <w:i w:val="false"/>
                <w:iCs w:val="false"/>
                <w:sz w:val="22"/>
                <w:szCs w:val="22"/>
              </w:rPr>
              <w:t>CONTRATAÇÃO</w:t>
            </w:r>
            <w:r>
              <w:rPr>
                <w:webHidden/>
              </w:rPr>
              <w:fldChar w:fldCharType="begin"/>
            </w:r>
            <w:r>
              <w:rPr>
                <w:webHidden/>
              </w:rPr>
              <w:instrText>PAGEREF _Toc104906824 \h</w:instrText>
            </w:r>
            <w:r>
              <w:rPr>
                <w:webHidden/>
              </w:rPr>
              <w:fldChar w:fldCharType="separate"/>
            </w:r>
            <w:r>
              <w:rPr>
                <w:rStyle w:val="Vnculodendice"/>
                <w:rFonts w:cs="Arial" w:ascii="Calibri" w:hAnsi="Calibri"/>
                <w:i w:val="false"/>
                <w:iCs w:val="false"/>
                <w:vanish w:val="false"/>
                <w:sz w:val="22"/>
                <w:szCs w:val="22"/>
              </w:rPr>
              <w:tab/>
              <w:t>12</w:t>
            </w:r>
            <w:r>
              <w:rPr>
                <w:webHidden/>
              </w:rPr>
              <w:fldChar w:fldCharType="end"/>
            </w:r>
          </w:hyperlink>
        </w:p>
        <w:p>
          <w:pPr>
            <w:pStyle w:val="Sumrio1"/>
            <w:tabs>
              <w:tab w:val="clear" w:pos="708"/>
              <w:tab w:val="left" w:pos="440" w:leader="none"/>
              <w:tab w:val="right" w:pos="9736" w:leader="dot"/>
            </w:tabs>
            <w:rPr/>
          </w:pPr>
          <w:hyperlink w:anchor="_Toc104906825">
            <w:r>
              <w:rPr>
                <w:webHidden/>
                <w:rStyle w:val="Vnculodendice"/>
                <w:rFonts w:eastAsia="Calibri" w:cs="Arial" w:ascii="Calibri" w:hAnsi="Calibri"/>
                <w:b/>
                <w:i w:val="false"/>
                <w:iCs w:val="false"/>
                <w:vanish w:val="false"/>
                <w:sz w:val="22"/>
                <w:szCs w:val="22"/>
              </w:rPr>
              <w:t>8.</w:t>
            </w:r>
            <w:r>
              <w:rPr>
                <w:rStyle w:val="Vnculodendice"/>
                <w:rFonts w:eastAsia="" w:cs="Arial" w:ascii="Calibri" w:hAnsi="Calibri" w:eastAsiaTheme="minorEastAsia"/>
                <w:i w:val="false"/>
                <w:iCs w:val="false"/>
                <w:sz w:val="22"/>
                <w:szCs w:val="22"/>
              </w:rPr>
              <w:tab/>
            </w:r>
            <w:r>
              <w:rPr>
                <w:rStyle w:val="Vnculodendice"/>
                <w:rFonts w:eastAsia="Calibri" w:cs="Arial" w:ascii="Calibri" w:hAnsi="Calibri"/>
                <w:i w:val="false"/>
                <w:iCs w:val="false"/>
                <w:sz w:val="22"/>
                <w:szCs w:val="22"/>
              </w:rPr>
              <w:t>SANÇÕES</w:t>
            </w:r>
            <w:r>
              <w:rPr>
                <w:webHidden/>
              </w:rPr>
              <w:fldChar w:fldCharType="begin"/>
            </w:r>
            <w:r>
              <w:rPr>
                <w:webHidden/>
              </w:rPr>
              <w:instrText>PAGEREF _Toc104906825 \h</w:instrText>
            </w:r>
            <w:r>
              <w:rPr>
                <w:webHidden/>
              </w:rPr>
              <w:fldChar w:fldCharType="separate"/>
            </w:r>
            <w:r>
              <w:rPr>
                <w:rStyle w:val="Vnculodendice"/>
                <w:rFonts w:cs="Arial" w:ascii="Calibri" w:hAnsi="Calibri"/>
                <w:i w:val="false"/>
                <w:iCs w:val="false"/>
                <w:vanish w:val="false"/>
                <w:sz w:val="22"/>
                <w:szCs w:val="22"/>
              </w:rPr>
              <w:tab/>
              <w:t>13</w:t>
            </w:r>
            <w:r>
              <w:rPr>
                <w:webHidden/>
              </w:rPr>
              <w:fldChar w:fldCharType="end"/>
            </w:r>
          </w:hyperlink>
        </w:p>
        <w:p>
          <w:pPr>
            <w:pStyle w:val="Sumrio1"/>
            <w:tabs>
              <w:tab w:val="clear" w:pos="708"/>
              <w:tab w:val="left" w:pos="440" w:leader="none"/>
              <w:tab w:val="right" w:pos="9736" w:leader="dot"/>
            </w:tabs>
            <w:rPr/>
          </w:pPr>
          <w:hyperlink w:anchor="_Toc104906826">
            <w:r>
              <w:rPr>
                <w:webHidden/>
                <w:rStyle w:val="Vnculodendice"/>
                <w:rFonts w:eastAsia="Calibri" w:cs="Arial" w:ascii="Calibri" w:hAnsi="Calibri"/>
                <w:b/>
                <w:i w:val="false"/>
                <w:iCs w:val="false"/>
                <w:vanish w:val="false"/>
                <w:sz w:val="22"/>
                <w:szCs w:val="22"/>
              </w:rPr>
              <w:t>9.</w:t>
            </w:r>
            <w:r>
              <w:rPr>
                <w:rStyle w:val="Vnculodendice"/>
                <w:rFonts w:eastAsia="" w:cs="Arial" w:ascii="Calibri" w:hAnsi="Calibri" w:eastAsiaTheme="minorEastAsia"/>
                <w:i w:val="false"/>
                <w:iCs w:val="false"/>
                <w:sz w:val="22"/>
                <w:szCs w:val="22"/>
              </w:rPr>
              <w:tab/>
            </w:r>
            <w:r>
              <w:rPr>
                <w:rStyle w:val="Vnculodendice"/>
                <w:rFonts w:eastAsia="Calibri" w:cs="Arial" w:ascii="Calibri" w:hAnsi="Calibri"/>
                <w:i w:val="false"/>
                <w:iCs w:val="false"/>
                <w:sz w:val="22"/>
                <w:szCs w:val="22"/>
              </w:rPr>
              <w:t>DAS DISPOSIÇÕES GERAIS</w:t>
            </w:r>
            <w:r>
              <w:rPr>
                <w:webHidden/>
              </w:rPr>
              <w:fldChar w:fldCharType="begin"/>
            </w:r>
            <w:r>
              <w:rPr>
                <w:webHidden/>
              </w:rPr>
              <w:instrText>PAGEREF _Toc104906826 \h</w:instrText>
            </w:r>
            <w:r>
              <w:rPr>
                <w:webHidden/>
              </w:rPr>
              <w:fldChar w:fldCharType="separate"/>
            </w:r>
            <w:r>
              <w:rPr>
                <w:rStyle w:val="Vnculodendice"/>
                <w:rFonts w:cs="Arial" w:ascii="Calibri" w:hAnsi="Calibri"/>
                <w:i w:val="false"/>
                <w:iCs w:val="false"/>
                <w:vanish w:val="false"/>
                <w:sz w:val="22"/>
                <w:szCs w:val="22"/>
              </w:rPr>
              <w:tab/>
              <w:t>15</w:t>
            </w:r>
            <w:r>
              <w:rPr>
                <w:webHidden/>
              </w:rPr>
              <w:fldChar w:fldCharType="end"/>
            </w:r>
          </w:hyperlink>
        </w:p>
        <w:p>
          <w:pPr>
            <w:pStyle w:val="Normal"/>
            <w:rPr>
              <w:rFonts w:ascii="Calibri" w:hAnsi="Calibri"/>
              <w:i w:val="false"/>
              <w:i w:val="false"/>
              <w:iCs w:val="false"/>
            </w:rPr>
          </w:pPr>
          <w:r>
            <w:rPr>
              <w:rFonts w:ascii="Calibri" w:hAnsi="Calibri"/>
              <w:i w:val="false"/>
              <w:iCs w:val="false"/>
            </w:rPr>
          </w:r>
          <w:r>
            <w:rPr>
              <w:i w:val="false"/>
              <w:iCs w:val="false"/>
              <w:rFonts w:ascii="Calibri" w:hAnsi="Calibri"/>
            </w:rPr>
            <w:fldChar w:fldCharType="end"/>
          </w:r>
        </w:p>
      </w:sdtContent>
    </w:sdt>
    <w:p>
      <w:pPr>
        <w:pStyle w:val="Ttulo1"/>
        <w:rPr>
          <w:rFonts w:ascii="Calibri" w:hAnsi="Calibri" w:cs="Arial"/>
          <w:b/>
          <w:b/>
          <w:bCs/>
          <w:i w:val="false"/>
          <w:i w:val="false"/>
          <w:iCs w:val="false"/>
          <w:color w:val="FF0000"/>
          <w:sz w:val="24"/>
        </w:rPr>
      </w:pPr>
      <w:r>
        <w:rPr>
          <w:rFonts w:cs="Arial" w:ascii="Calibri" w:hAnsi="Calibri"/>
          <w:b/>
          <w:bCs/>
          <w:i w:val="false"/>
          <w:iCs w:val="false"/>
          <w:color w:val="FF0000"/>
          <w:sz w:val="24"/>
        </w:rPr>
      </w:r>
      <w:r>
        <w:br w:type="page"/>
      </w:r>
    </w:p>
    <w:p>
      <w:pPr>
        <w:pStyle w:val="Normal"/>
        <w:spacing w:lineRule="auto" w:line="276"/>
        <w:jc w:val="center"/>
        <w:rPr>
          <w:rFonts w:ascii="Calibri" w:hAnsi="Calibri"/>
          <w:i w:val="false"/>
          <w:i w:val="false"/>
          <w:iCs w:val="false"/>
        </w:rPr>
      </w:pPr>
      <w:r>
        <w:rPr>
          <w:rFonts w:ascii="Calibri" w:hAnsi="Calibri"/>
          <w:i w:val="false"/>
          <w:iCs w:val="false"/>
        </w:rPr>
        <w:drawing>
          <wp:anchor behindDoc="0" distT="0" distB="0" distL="0" distR="0" simplePos="0" locked="0" layoutInCell="1" allowOverlap="1" relativeHeight="3">
            <wp:simplePos x="0" y="0"/>
            <wp:positionH relativeFrom="column">
              <wp:posOffset>2796540</wp:posOffset>
            </wp:positionH>
            <wp:positionV relativeFrom="paragraph">
              <wp:posOffset>20320</wp:posOffset>
            </wp:positionV>
            <wp:extent cx="803275" cy="765175"/>
            <wp:effectExtent l="0" t="0" r="0" b="0"/>
            <wp:wrapNone/>
            <wp:docPr id="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
                    <pic:cNvPicPr>
                      <a:picLocks noChangeAspect="1" noChangeArrowheads="1"/>
                    </pic:cNvPicPr>
                  </pic:nvPicPr>
                  <pic:blipFill>
                    <a:blip r:embed="rId2"/>
                    <a:srcRect l="-19" t="-20" r="-19" b="-20"/>
                    <a:stretch>
                      <a:fillRect/>
                    </a:stretch>
                  </pic:blipFill>
                  <pic:spPr bwMode="auto">
                    <a:xfrm>
                      <a:off x="0" y="0"/>
                      <a:ext cx="803275" cy="765175"/>
                    </a:xfrm>
                    <a:prstGeom prst="rect">
                      <a:avLst/>
                    </a:prstGeom>
                  </pic:spPr>
                </pic:pic>
              </a:graphicData>
            </a:graphic>
          </wp:anchor>
        </w:drawing>
      </w:r>
    </w:p>
    <w:p>
      <w:pPr>
        <w:pStyle w:val="Normal"/>
        <w:spacing w:lineRule="auto" w:line="276"/>
        <w:jc w:val="center"/>
        <w:rPr>
          <w:rFonts w:ascii="Calibri" w:hAnsi="Calibri"/>
          <w:i w:val="false"/>
          <w:i w:val="false"/>
          <w:iCs w:val="false"/>
        </w:rPr>
      </w:pPr>
      <w:r>
        <w:rPr>
          <w:rFonts w:ascii="Calibri" w:hAnsi="Calibri"/>
          <w:i w:val="false"/>
          <w:iCs w:val="false"/>
        </w:rPr>
      </w:r>
    </w:p>
    <w:p>
      <w:pPr>
        <w:pStyle w:val="Normal"/>
        <w:spacing w:lineRule="auto" w:line="276"/>
        <w:jc w:val="center"/>
        <w:rPr>
          <w:rFonts w:ascii="Calibri" w:hAnsi="Calibri"/>
          <w:i w:val="false"/>
          <w:i w:val="false"/>
          <w:iCs w:val="false"/>
        </w:rPr>
      </w:pPr>
      <w:r>
        <w:rPr>
          <w:rFonts w:ascii="Calibri" w:hAnsi="Calibri"/>
          <w:i w:val="false"/>
          <w:iCs w:val="false"/>
        </w:rPr>
      </w:r>
    </w:p>
    <w:p>
      <w:pPr>
        <w:pStyle w:val="Normal"/>
        <w:spacing w:lineRule="auto" w:line="276"/>
        <w:jc w:val="center"/>
        <w:rPr>
          <w:rFonts w:ascii="Calibri" w:hAnsi="Calibri"/>
          <w:i w:val="false"/>
          <w:i w:val="false"/>
          <w:iCs w:val="false"/>
        </w:rPr>
      </w:pPr>
      <w:r>
        <w:rPr>
          <w:rFonts w:ascii="Calibri" w:hAnsi="Calibri"/>
          <w:i w:val="false"/>
          <w:iCs w:val="false"/>
        </w:rPr>
      </w:r>
    </w:p>
    <w:p>
      <w:pPr>
        <w:pStyle w:val="Normal"/>
        <w:spacing w:lineRule="auto" w:line="276"/>
        <w:jc w:val="center"/>
        <w:rPr>
          <w:rFonts w:ascii="Calibri" w:hAnsi="Calibri"/>
          <w:i w:val="false"/>
          <w:i w:val="false"/>
          <w:iCs w:val="false"/>
        </w:rPr>
      </w:pPr>
      <w:r>
        <w:rPr>
          <w:rFonts w:ascii="Calibri" w:hAnsi="Calibri"/>
          <w:i w:val="false"/>
          <w:iCs w:val="false"/>
        </w:rPr>
      </w:r>
    </w:p>
    <w:p>
      <w:pPr>
        <w:pStyle w:val="Legenda1"/>
        <w:widowControl/>
        <w:numPr>
          <w:ilvl w:val="0"/>
          <w:numId w:val="0"/>
        </w:numPr>
        <w:bidi w:val="0"/>
        <w:spacing w:before="0" w:after="0"/>
        <w:ind w:left="435" w:right="0" w:hanging="0"/>
        <w:jc w:val="center"/>
        <w:rPr>
          <w:rFonts w:ascii="Calibri" w:hAnsi="Calibri" w:cs="Times New Roman"/>
          <w:b/>
          <w:b/>
          <w:bCs/>
          <w:i w:val="false"/>
          <w:i w:val="false"/>
          <w:iCs w:val="false"/>
          <w:color w:val="000000"/>
          <w:sz w:val="20"/>
          <w:szCs w:val="20"/>
        </w:rPr>
      </w:pPr>
      <w:r>
        <w:rPr>
          <w:rFonts w:cs="Times New Roman" w:ascii="Calibri" w:hAnsi="Calibri"/>
          <w:b/>
          <w:bCs/>
          <w:i w:val="false"/>
          <w:iCs w:val="false"/>
          <w:color w:val="000000"/>
          <w:sz w:val="20"/>
          <w:szCs w:val="20"/>
        </w:rPr>
        <w:t>MINISTÉRIO DA DEFESA</w:t>
      </w:r>
    </w:p>
    <w:p>
      <w:pPr>
        <w:pStyle w:val="Normal"/>
        <w:widowControl/>
        <w:numPr>
          <w:ilvl w:val="0"/>
          <w:numId w:val="0"/>
        </w:numPr>
        <w:bidi w:val="0"/>
        <w:spacing w:before="0" w:after="0"/>
        <w:ind w:left="435" w:right="0" w:hanging="0"/>
        <w:jc w:val="center"/>
        <w:rPr>
          <w:rFonts w:ascii="Calibri" w:hAnsi="Calibri" w:cs="Times New Roman"/>
          <w:b/>
          <w:b/>
          <w:bCs/>
          <w:i w:val="false"/>
          <w:i w:val="false"/>
          <w:iCs w:val="false"/>
          <w:color w:val="000000"/>
          <w:sz w:val="20"/>
          <w:szCs w:val="20"/>
        </w:rPr>
      </w:pPr>
      <w:r>
        <w:rPr>
          <w:rFonts w:cs="Times New Roman" w:ascii="Calibri" w:hAnsi="Calibri"/>
          <w:b/>
          <w:bCs/>
          <w:i w:val="false"/>
          <w:iCs w:val="false"/>
          <w:color w:val="000000"/>
          <w:sz w:val="20"/>
          <w:szCs w:val="20"/>
        </w:rPr>
        <w:t>EXÉRCITO BRASILEIRO</w:t>
      </w:r>
    </w:p>
    <w:p>
      <w:pPr>
        <w:pStyle w:val="Normal"/>
        <w:widowControl/>
        <w:numPr>
          <w:ilvl w:val="0"/>
          <w:numId w:val="0"/>
        </w:numPr>
        <w:bidi w:val="0"/>
        <w:spacing w:before="0" w:after="0"/>
        <w:ind w:left="435" w:right="0" w:hanging="0"/>
        <w:jc w:val="center"/>
        <w:rPr>
          <w:rFonts w:ascii="Calibri" w:hAnsi="Calibri" w:cs="Times New Roman"/>
          <w:b/>
          <w:b/>
          <w:bCs/>
          <w:i w:val="false"/>
          <w:i w:val="false"/>
          <w:iCs w:val="false"/>
          <w:color w:val="000000"/>
          <w:sz w:val="20"/>
          <w:szCs w:val="20"/>
        </w:rPr>
      </w:pPr>
      <w:r>
        <w:rPr>
          <w:rFonts w:cs="Times New Roman" w:ascii="Calibri" w:hAnsi="Calibri"/>
          <w:b/>
          <w:bCs/>
          <w:i w:val="false"/>
          <w:iCs w:val="false"/>
          <w:color w:val="000000"/>
          <w:sz w:val="20"/>
          <w:szCs w:val="20"/>
        </w:rPr>
        <w:t>1º BATALHÃO FERROVIÁRIO</w:t>
      </w:r>
    </w:p>
    <w:p>
      <w:pPr>
        <w:pStyle w:val="Normal"/>
        <w:widowControl/>
        <w:numPr>
          <w:ilvl w:val="0"/>
          <w:numId w:val="0"/>
        </w:numPr>
        <w:bidi w:val="0"/>
        <w:spacing w:before="0" w:after="0"/>
        <w:ind w:left="435" w:right="0" w:hanging="0"/>
        <w:jc w:val="center"/>
        <w:rPr/>
      </w:pPr>
      <w:r>
        <w:rPr>
          <w:rStyle w:val="Fontepargpadro"/>
          <w:rFonts w:cs="Times New Roman" w:ascii="Calibri" w:hAnsi="Calibri"/>
          <w:b/>
          <w:bCs/>
          <w:i w:val="false"/>
          <w:iCs w:val="false"/>
          <w:color w:val="000000"/>
          <w:sz w:val="20"/>
          <w:szCs w:val="20"/>
        </w:rPr>
        <w:t>(Batalhão de Engenheiros/1885 – 1</w:t>
      </w:r>
      <w:r>
        <w:rPr>
          <w:rStyle w:val="Fontepargpadro"/>
          <w:rFonts w:cs="Times New Roman" w:ascii="Calibri" w:hAnsi="Calibri"/>
          <w:b/>
          <w:bCs/>
          <w:i w:val="false"/>
          <w:iCs w:val="false"/>
          <w:color w:val="000000"/>
          <w:position w:val="5"/>
          <w:sz w:val="20"/>
          <w:szCs w:val="20"/>
        </w:rPr>
        <w:t>o</w:t>
      </w:r>
      <w:r>
        <w:rPr>
          <w:rStyle w:val="Fontepargpadro"/>
          <w:rFonts w:cs="Times New Roman" w:ascii="Calibri" w:hAnsi="Calibri"/>
          <w:b/>
          <w:bCs/>
          <w:i w:val="false"/>
          <w:iCs w:val="false"/>
          <w:color w:val="000000"/>
          <w:sz w:val="20"/>
          <w:szCs w:val="20"/>
        </w:rPr>
        <w:t xml:space="preserve"> Batalhão Ferroviário/1920)</w:t>
      </w:r>
    </w:p>
    <w:p>
      <w:pPr>
        <w:pStyle w:val="Normal"/>
        <w:widowControl/>
        <w:numPr>
          <w:ilvl w:val="0"/>
          <w:numId w:val="0"/>
        </w:numPr>
        <w:bidi w:val="0"/>
        <w:spacing w:lineRule="auto" w:line="276" w:before="0" w:after="0"/>
        <w:ind w:left="435" w:right="0" w:hanging="0"/>
        <w:jc w:val="center"/>
        <w:rPr>
          <w:rFonts w:cs="Arial"/>
          <w:b/>
          <w:b/>
          <w:bCs/>
          <w:i/>
          <w:i/>
          <w:iCs/>
          <w:color w:val="FF0000"/>
          <w:szCs w:val="20"/>
        </w:rPr>
      </w:pPr>
      <w:r>
        <w:rPr>
          <w:rStyle w:val="Fontepargpadro"/>
          <w:rFonts w:cs="Times New Roman" w:ascii="Calibri" w:hAnsi="Calibri"/>
          <w:b/>
          <w:bCs/>
          <w:i w:val="false"/>
          <w:iCs w:val="false"/>
          <w:color w:val="000000"/>
          <w:sz w:val="20"/>
          <w:szCs w:val="20"/>
        </w:rPr>
        <w:t>BATALHÃO BENJAMIN CONSTANT</w:t>
      </w:r>
    </w:p>
    <w:p>
      <w:pPr>
        <w:pStyle w:val="Normal"/>
        <w:spacing w:lineRule="auto" w:line="276"/>
        <w:jc w:val="center"/>
        <w:rPr>
          <w:rFonts w:ascii="Calibri" w:hAnsi="Calibri"/>
          <w:i w:val="false"/>
          <w:i w:val="false"/>
          <w:iCs w:val="false"/>
        </w:rPr>
      </w:pPr>
      <w:r>
        <w:rPr>
          <w:rFonts w:ascii="Calibri" w:hAnsi="Calibri"/>
          <w:i w:val="false"/>
          <w:iCs w:val="false"/>
        </w:rPr>
      </w:r>
    </w:p>
    <w:p>
      <w:pPr>
        <w:pStyle w:val="Normal"/>
        <w:spacing w:lineRule="auto" w:line="276"/>
        <w:jc w:val="center"/>
        <w:rPr>
          <w:rFonts w:ascii="Calibri" w:hAnsi="Calibri" w:cs="Arial"/>
          <w:b/>
          <w:b/>
          <w:bCs/>
          <w:i w:val="false"/>
          <w:i w:val="false"/>
          <w:iCs w:val="false"/>
          <w:color w:val="FF0000"/>
          <w:sz w:val="24"/>
        </w:rPr>
      </w:pPr>
      <w:r>
        <w:rPr>
          <w:rFonts w:cs="Arial" w:ascii="Calibri" w:hAnsi="Calibri"/>
          <w:b/>
          <w:bCs/>
          <w:i w:val="false"/>
          <w:iCs w:val="false"/>
          <w:color w:val="FF0000"/>
          <w:sz w:val="24"/>
        </w:rPr>
      </w:r>
    </w:p>
    <w:p>
      <w:pPr>
        <w:pStyle w:val="Normal"/>
        <w:spacing w:lineRule="auto" w:line="276"/>
        <w:jc w:val="center"/>
        <w:rPr>
          <w:rFonts w:ascii="Calibri" w:hAnsi="Calibri"/>
          <w:i w:val="false"/>
          <w:i w:val="false"/>
          <w:iCs w:val="false"/>
        </w:rPr>
      </w:pPr>
      <w:r>
        <w:rPr>
          <w:rFonts w:cs="Arial" w:ascii="Calibri" w:hAnsi="Calibri"/>
          <w:b/>
          <w:bCs/>
          <w:i w:val="false"/>
          <w:iCs w:val="false"/>
          <w:color w:val="000000" w:themeColor="text1"/>
          <w:sz w:val="24"/>
        </w:rPr>
        <w:t>AVISO DE DISPENSA ELETRÔNICA Nº 30/2023</w:t>
      </w:r>
    </w:p>
    <w:p>
      <w:pPr>
        <w:pStyle w:val="Normal"/>
        <w:spacing w:lineRule="auto" w:line="276" w:before="0" w:after="120"/>
        <w:ind w:right="-15" w:hanging="0"/>
        <w:jc w:val="center"/>
        <w:rPr>
          <w:rFonts w:ascii="Calibri" w:hAnsi="Calibri"/>
          <w:i w:val="false"/>
          <w:i w:val="false"/>
          <w:iCs w:val="false"/>
        </w:rPr>
      </w:pPr>
      <w:r>
        <w:rPr>
          <w:rFonts w:cs="Arial" w:ascii="Calibri" w:hAnsi="Calibri"/>
          <w:b/>
          <w:bCs/>
          <w:i w:val="false"/>
          <w:iCs w:val="false"/>
          <w:color w:val="000000" w:themeColor="text1"/>
          <w:sz w:val="24"/>
        </w:rPr>
        <w:t>(Processo Administrativo n.°65307.006409/2023-35)</w:t>
      </w:r>
    </w:p>
    <w:p>
      <w:pPr>
        <w:pStyle w:val="Normal"/>
        <w:rPr>
          <w:rFonts w:ascii="Calibri" w:hAnsi="Calibri" w:cs="Arial"/>
          <w:i w:val="false"/>
          <w:i w:val="false"/>
          <w:iCs w:val="false"/>
          <w:color w:val="000000"/>
          <w:sz w:val="24"/>
        </w:rPr>
      </w:pPr>
      <w:r>
        <w:rPr>
          <w:rFonts w:cs="Arial" w:ascii="Calibri" w:hAnsi="Calibri"/>
          <w:i w:val="false"/>
          <w:iCs w:val="false"/>
          <w:color w:val="000000"/>
          <w:sz w:val="24"/>
        </w:rPr>
      </w:r>
    </w:p>
    <w:p>
      <w:pPr>
        <w:pStyle w:val="Normal"/>
        <w:snapToGrid w:val="false"/>
        <w:spacing w:lineRule="auto" w:line="360" w:before="113" w:after="113"/>
        <w:ind w:right="-30" w:firstLine="540"/>
        <w:jc w:val="both"/>
        <w:rPr>
          <w:rFonts w:ascii="Calibri" w:hAnsi="Calibri"/>
          <w:i w:val="false"/>
          <w:i w:val="false"/>
          <w:iCs w:val="false"/>
          <w:color w:val="000000"/>
        </w:rPr>
      </w:pPr>
      <w:r>
        <w:rPr>
          <w:rFonts w:cs="Arial" w:ascii="Calibri" w:hAnsi="Calibri"/>
          <w:i w:val="false"/>
          <w:iCs w:val="false"/>
          <w:color w:val="000000" w:themeColor="text1"/>
          <w:sz w:val="24"/>
        </w:rPr>
        <w:t>Torna-se público que o 1º BATALHÃO FERROVIÁRIO, por meio d</w:t>
      </w:r>
      <w:r>
        <w:rPr>
          <w:rFonts w:eastAsia="Times New Roman" w:cs="Arial" w:ascii="Calibri" w:hAnsi="Calibri"/>
          <w:i w:val="false"/>
          <w:iCs w:val="false"/>
          <w:color w:val="000000" w:themeColor="text1"/>
          <w:sz w:val="24"/>
          <w:szCs w:val="24"/>
          <w:lang w:eastAsia="pt-BR"/>
        </w:rPr>
        <w:t>a</w:t>
      </w:r>
      <w:r>
        <w:rPr>
          <w:rFonts w:eastAsia="Arial" w:cs="Arial" w:ascii="Calibri" w:hAnsi="Calibri"/>
          <w:i w:val="false"/>
          <w:iCs w:val="false"/>
          <w:color w:val="000000" w:themeColor="text1"/>
          <w:sz w:val="24"/>
        </w:rPr>
        <w:t xml:space="preserve"> </w:t>
      </w:r>
      <w:r>
        <w:rPr>
          <w:rFonts w:eastAsia="Arial" w:cs="Arial" w:ascii="Calibri" w:hAnsi="Calibri"/>
          <w:i w:val="false"/>
          <w:iCs w:val="false"/>
          <w:color w:val="000000"/>
          <w:sz w:val="24"/>
          <w:szCs w:val="24"/>
          <w:lang w:eastAsia="pt-BR"/>
        </w:rPr>
        <w:t>Seção de Aquisições, Licitações e Contratos - SALC</w:t>
      </w:r>
      <w:r>
        <w:rPr>
          <w:rFonts w:cs="Arial" w:ascii="Calibri" w:hAnsi="Calibri"/>
          <w:i w:val="false"/>
          <w:iCs w:val="false"/>
          <w:color w:val="000000" w:themeColor="text1"/>
          <w:sz w:val="24"/>
        </w:rPr>
        <w:t xml:space="preserve">, realizará Dispensa Eletrônica, </w:t>
      </w:r>
      <w:r>
        <w:rPr>
          <w:rFonts w:cs="Arial" w:ascii="Calibri" w:hAnsi="Calibri"/>
          <w:bCs/>
          <w:i w:val="false"/>
          <w:iCs w:val="false"/>
          <w:color w:val="000000" w:themeColor="text1"/>
          <w:sz w:val="24"/>
        </w:rPr>
        <w:t>com critério de julgamento</w:t>
      </w:r>
      <w:r>
        <w:rPr>
          <w:rFonts w:cs="Arial" w:ascii="Calibri" w:hAnsi="Calibri"/>
          <w:b/>
          <w:bCs/>
          <w:i w:val="false"/>
          <w:iCs w:val="false"/>
          <w:color w:val="000000" w:themeColor="text1"/>
          <w:sz w:val="24"/>
        </w:rPr>
        <w:t xml:space="preserve"> </w:t>
      </w:r>
      <w:r>
        <w:rPr>
          <w:rFonts w:cs="Arial" w:ascii="Calibri" w:hAnsi="Calibri"/>
          <w:i w:val="false"/>
          <w:iCs w:val="false"/>
          <w:color w:val="000000"/>
          <w:sz w:val="24"/>
        </w:rPr>
        <w:t>menor preço,</w:t>
      </w:r>
      <w:r>
        <w:rPr>
          <w:rFonts w:cs="Arial" w:ascii="Calibri" w:hAnsi="Calibri"/>
          <w:b/>
          <w:bCs/>
          <w:i w:val="false"/>
          <w:iCs w:val="false"/>
          <w:color w:val="000000"/>
          <w:sz w:val="24"/>
        </w:rPr>
        <w:t xml:space="preserve"> </w:t>
      </w:r>
      <w:r>
        <w:rPr>
          <w:rFonts w:cs="Arial" w:ascii="Calibri" w:hAnsi="Calibri"/>
          <w:i w:val="false"/>
          <w:iCs w:val="false"/>
          <w:color w:val="000000" w:themeColor="text1"/>
          <w:sz w:val="24"/>
        </w:rPr>
        <w:t>na hipótese do art. 75</w:t>
      </w:r>
      <w:r>
        <w:rPr>
          <w:rFonts w:cs="Arial" w:ascii="Calibri" w:hAnsi="Calibri"/>
          <w:b w:val="false"/>
          <w:bCs w:val="false"/>
          <w:i w:val="false"/>
          <w:iCs w:val="false"/>
          <w:color w:val="000000" w:themeColor="text1"/>
          <w:sz w:val="24"/>
        </w:rPr>
        <w:t xml:space="preserve">, </w:t>
      </w:r>
      <w:r>
        <w:rPr>
          <w:rFonts w:cs="Arial" w:ascii="Calibri" w:hAnsi="Calibri"/>
          <w:b w:val="false"/>
          <w:bCs w:val="false"/>
          <w:i w:val="false"/>
          <w:iCs w:val="false"/>
          <w:color w:val="000000"/>
          <w:sz w:val="24"/>
        </w:rPr>
        <w:t>II</w:t>
      </w:r>
      <w:r>
        <w:rPr>
          <w:rFonts w:cs="Arial" w:ascii="Calibri" w:hAnsi="Calibri"/>
          <w:i w:val="false"/>
          <w:iCs w:val="false"/>
          <w:color w:val="000000"/>
          <w:sz w:val="24"/>
        </w:rPr>
        <w:t xml:space="preserve">, </w:t>
      </w:r>
      <w:r>
        <w:rPr>
          <w:rFonts w:cs="Arial" w:ascii="Calibri" w:hAnsi="Calibri"/>
          <w:bCs/>
          <w:i w:val="false"/>
          <w:iCs w:val="false"/>
          <w:color w:val="000000"/>
          <w:sz w:val="24"/>
        </w:rPr>
        <w:t>nos termos da Lei nº 14.133, de 1º de abril de 2021, da Instrução Normativa SEGES/ME nº 67/2021 e demais legislação aplicável</w:t>
      </w:r>
      <w:r>
        <w:rPr>
          <w:rFonts w:cs="Arial" w:ascii="Calibri" w:hAnsi="Calibri"/>
          <w:i w:val="false"/>
          <w:iCs w:val="false"/>
          <w:color w:val="000000"/>
          <w:sz w:val="24"/>
        </w:rPr>
        <w:t>.</w:t>
      </w:r>
    </w:p>
    <w:p>
      <w:pPr>
        <w:pStyle w:val="Normal"/>
        <w:spacing w:lineRule="auto" w:line="276" w:before="113" w:after="113"/>
        <w:jc w:val="both"/>
        <w:rPr>
          <w:rFonts w:ascii="Calibri" w:hAnsi="Calibri"/>
          <w:i w:val="false"/>
          <w:i w:val="false"/>
          <w:iCs w:val="false"/>
        </w:rPr>
      </w:pPr>
      <w:r>
        <w:rPr>
          <w:rFonts w:cs="Arial" w:ascii="Calibri" w:hAnsi="Calibri"/>
          <w:b/>
          <w:bCs/>
          <w:i w:val="false"/>
          <w:iCs w:val="false"/>
          <w:color w:val="C9211E"/>
          <w:sz w:val="24"/>
        </w:rPr>
        <w:t>Data da sessão: 2</w:t>
      </w:r>
      <w:r>
        <w:rPr>
          <w:rFonts w:cs="Arial" w:ascii="Calibri" w:hAnsi="Calibri"/>
          <w:b/>
          <w:bCs/>
          <w:i w:val="false"/>
          <w:iCs w:val="false"/>
          <w:color w:val="C9211E"/>
          <w:sz w:val="24"/>
        </w:rPr>
        <w:t>6</w:t>
      </w:r>
      <w:r>
        <w:rPr>
          <w:rFonts w:cs="Arial" w:ascii="Calibri" w:hAnsi="Calibri"/>
          <w:b/>
          <w:bCs/>
          <w:i w:val="false"/>
          <w:iCs w:val="false"/>
          <w:color w:val="C9211E"/>
          <w:sz w:val="24"/>
        </w:rPr>
        <w:t xml:space="preserve"> de junho de 2023</w:t>
      </w:r>
    </w:p>
    <w:p>
      <w:pPr>
        <w:pStyle w:val="Normal"/>
        <w:spacing w:lineRule="auto" w:line="276" w:before="113" w:after="113"/>
        <w:rPr/>
      </w:pPr>
      <w:r>
        <w:rPr>
          <w:rFonts w:cs="Arial" w:ascii="Calibri" w:hAnsi="Calibri"/>
          <w:b/>
          <w:bCs/>
          <w:i w:val="false"/>
          <w:iCs w:val="false"/>
          <w:color w:val="C9211E"/>
          <w:sz w:val="24"/>
        </w:rPr>
        <w:t>Link:</w:t>
      </w:r>
      <w:r>
        <w:rPr>
          <w:rFonts w:cs="Arial" w:ascii="Calibri" w:hAnsi="Calibri"/>
          <w:b/>
          <w:bCs/>
          <w:i w:val="false"/>
          <w:iCs w:val="false"/>
          <w:color w:val="000000" w:themeColor="text1"/>
          <w:sz w:val="24"/>
        </w:rPr>
        <w:t xml:space="preserve"> </w:t>
      </w:r>
      <w:hyperlink r:id="rId3">
        <w:r>
          <w:rPr>
            <w:rStyle w:val="LinkdaInternet"/>
            <w:rFonts w:cs="Arial" w:ascii="Calibri" w:hAnsi="Calibri"/>
            <w:b/>
            <w:bCs/>
            <w:i w:val="false"/>
            <w:iCs w:val="false"/>
            <w:color w:val="000000" w:themeColor="text1"/>
            <w:sz w:val="24"/>
          </w:rPr>
          <w:t>https://www.gov.br/compras/pt-br</w:t>
        </w:r>
      </w:hyperlink>
    </w:p>
    <w:p>
      <w:pPr>
        <w:pStyle w:val="Normal"/>
        <w:spacing w:lineRule="auto" w:line="276" w:before="113" w:after="113"/>
        <w:rPr>
          <w:rFonts w:ascii="Calibri" w:hAnsi="Calibri"/>
          <w:i w:val="false"/>
          <w:i w:val="false"/>
          <w:iCs w:val="false"/>
        </w:rPr>
      </w:pPr>
      <w:r>
        <w:rPr>
          <w:rFonts w:cs="Arial" w:ascii="Calibri" w:hAnsi="Calibri"/>
          <w:b/>
          <w:bCs/>
          <w:i w:val="false"/>
          <w:iCs w:val="false"/>
          <w:color w:val="C9211E"/>
          <w:sz w:val="24"/>
        </w:rPr>
        <w:t xml:space="preserve">Horário da Fase de Lances: 8:00 às </w:t>
      </w:r>
      <w:r>
        <w:rPr>
          <w:rFonts w:eastAsia="Times New Roman" w:cs="Arial" w:ascii="Calibri" w:hAnsi="Calibri"/>
          <w:b/>
          <w:bCs/>
          <w:i w:val="false"/>
          <w:iCs w:val="false"/>
          <w:color w:val="C9211E"/>
          <w:sz w:val="24"/>
          <w:szCs w:val="24"/>
          <w:lang w:eastAsia="pt-BR"/>
        </w:rPr>
        <w:t>às 14h</w:t>
      </w:r>
    </w:p>
    <w:p>
      <w:pPr>
        <w:pStyle w:val="Normal"/>
        <w:spacing w:lineRule="auto" w:line="276" w:before="113" w:after="113"/>
        <w:rPr>
          <w:rFonts w:ascii="Calibri" w:hAnsi="Calibri"/>
          <w:b/>
          <w:b/>
          <w:bCs/>
          <w:i w:val="false"/>
          <w:i w:val="false"/>
          <w:iCs w:val="false"/>
          <w:color w:val="000000"/>
        </w:rPr>
      </w:pPr>
      <w:r>
        <w:rPr>
          <w:rFonts w:eastAsia="Times New Roman" w:cs="Arial" w:ascii="Calibri" w:hAnsi="Calibri"/>
          <w:b/>
          <w:bCs/>
          <w:i w:val="false"/>
          <w:iCs w:val="false"/>
          <w:color w:val="000000"/>
          <w:sz w:val="24"/>
          <w:szCs w:val="24"/>
          <w:lang w:eastAsia="pt-BR"/>
        </w:rPr>
        <w:t xml:space="preserve">1. </w:t>
      </w:r>
      <w:bookmarkStart w:id="1" w:name="_Toc104906818"/>
      <w:r>
        <w:rPr>
          <w:rFonts w:cs="Arial" w:ascii="Calibri" w:hAnsi="Calibri"/>
          <w:b/>
          <w:bCs/>
          <w:i w:val="false"/>
          <w:iCs w:val="false"/>
          <w:color w:val="000000"/>
          <w:sz w:val="24"/>
          <w:szCs w:val="24"/>
        </w:rPr>
        <w:t>OBJETO DA CONTRATAÇÃO DIRETA</w:t>
      </w:r>
      <w:bookmarkEnd w:id="1"/>
    </w:p>
    <w:p>
      <w:pPr>
        <w:pStyle w:val="PADRO"/>
        <w:keepNext w:val="false"/>
        <w:widowControl/>
        <w:numPr>
          <w:ilvl w:val="0"/>
          <w:numId w:val="0"/>
        </w:numPr>
        <w:shd w:val="clear" w:color="auto" w:fill="auto"/>
        <w:spacing w:lineRule="auto" w:line="276" w:before="113" w:after="113"/>
        <w:ind w:left="792" w:hanging="0"/>
        <w:rPr>
          <w:rFonts w:ascii="Calibri" w:hAnsi="Calibri"/>
          <w:i w:val="false"/>
          <w:i w:val="false"/>
          <w:iCs w:val="false"/>
        </w:rPr>
      </w:pPr>
      <w:r>
        <w:rPr>
          <w:rFonts w:cs="Arial" w:ascii="Calibri" w:hAnsi="Calibri"/>
          <w:i w:val="false"/>
          <w:iCs w:val="false"/>
          <w:color w:val="000000" w:themeColor="text1"/>
          <w:sz w:val="24"/>
        </w:rPr>
        <w:t xml:space="preserve">1.1. O objeto da presente dispensa é a escolha da proposta mais vantajosa para a </w:t>
      </w:r>
      <w:r>
        <w:rPr>
          <w:rFonts w:cs="Arial" w:ascii="Calibri" w:hAnsi="Calibri"/>
          <w:i w:val="false"/>
          <w:iCs w:val="false"/>
          <w:color w:val="000000"/>
          <w:sz w:val="24"/>
          <w:u w:val="none"/>
        </w:rPr>
        <w:t>contratação</w:t>
      </w:r>
      <w:r>
        <w:rPr>
          <w:rFonts w:cs="Arial" w:ascii="Calibri" w:hAnsi="Calibri"/>
          <w:i w:val="false"/>
          <w:iCs w:val="false"/>
          <w:color w:val="000000" w:themeColor="text1"/>
          <w:sz w:val="24"/>
          <w:u w:val="none"/>
        </w:rPr>
        <w:t xml:space="preserve"> por dispensa de licitação de Gêneros Alimentícios</w:t>
      </w:r>
      <w:r>
        <w:rPr>
          <w:rFonts w:cs="Arial" w:ascii="Calibri" w:hAnsi="Calibri"/>
          <w:b w:val="false"/>
          <w:bCs w:val="false"/>
          <w:i w:val="false"/>
          <w:iCs w:val="false"/>
          <w:color w:val="000000" w:themeColor="text1"/>
          <w:sz w:val="24"/>
          <w:u w:val="none"/>
        </w:rPr>
        <w:t xml:space="preserve">, </w:t>
      </w:r>
      <w:r>
        <w:rPr>
          <w:rFonts w:cs="Arial" w:ascii="Calibri" w:hAnsi="Calibri"/>
          <w:i w:val="false"/>
          <w:iCs w:val="false"/>
          <w:color w:val="000000" w:themeColor="text1"/>
          <w:sz w:val="24"/>
          <w:u w:val="none"/>
        </w:rPr>
        <w:t>conforme condições, quantidades e exigências estabelecidas neste Aviso de Contratação Direta e seus anexos.</w:t>
      </w:r>
    </w:p>
    <w:p>
      <w:pPr>
        <w:pStyle w:val="PADRO"/>
        <w:keepNext w:val="false"/>
        <w:widowControl/>
        <w:numPr>
          <w:ilvl w:val="0"/>
          <w:numId w:val="0"/>
        </w:numPr>
        <w:shd w:val="clear" w:color="auto" w:fill="auto"/>
        <w:spacing w:lineRule="auto" w:line="276" w:before="113" w:after="113"/>
        <w:ind w:left="792" w:hanging="0"/>
        <w:rPr>
          <w:rFonts w:ascii="Calibri" w:hAnsi="Calibri"/>
          <w:i w:val="false"/>
          <w:i w:val="false"/>
          <w:iCs w:val="false"/>
          <w:color w:val="000000"/>
          <w:u w:val="none"/>
        </w:rPr>
      </w:pPr>
      <w:r>
        <w:rPr>
          <w:rFonts w:cs="Arial" w:ascii="Calibri" w:hAnsi="Calibri"/>
          <w:i w:val="false"/>
          <w:iCs w:val="false"/>
          <w:color w:val="000000"/>
          <w:sz w:val="24"/>
          <w:u w:val="none"/>
        </w:rPr>
        <w:t>1.2. A contratação ocorrerá em item/ único</w:t>
      </w:r>
      <w:r>
        <w:rPr>
          <w:rFonts w:cs="Arial" w:ascii="Calibri" w:hAnsi="Calibri"/>
          <w:b/>
          <w:bCs/>
          <w:i w:val="false"/>
          <w:iCs w:val="false"/>
          <w:color w:val="000000"/>
          <w:sz w:val="24"/>
          <w:u w:val="none"/>
        </w:rPr>
        <w:t>,</w:t>
      </w:r>
      <w:r>
        <w:rPr>
          <w:rFonts w:cs="Arial" w:ascii="Calibri" w:hAnsi="Calibri"/>
          <w:i w:val="false"/>
          <w:iCs w:val="false"/>
          <w:color w:val="000000"/>
          <w:sz w:val="24"/>
          <w:u w:val="none"/>
        </w:rPr>
        <w:t xml:space="preserve"> conforme tabela constante abaixo.</w:t>
      </w:r>
      <w:r>
        <w:br w:type="page"/>
      </w:r>
    </w:p>
    <w:p>
      <w:pPr>
        <w:pStyle w:val="PADRO"/>
        <w:widowControl/>
        <w:numPr>
          <w:ilvl w:val="0"/>
          <w:numId w:val="0"/>
        </w:numPr>
        <w:shd w:val="clear" w:color="auto" w:fill="auto"/>
        <w:spacing w:lineRule="auto" w:line="276" w:before="113" w:after="113"/>
        <w:ind w:left="792" w:hanging="0"/>
        <w:rPr/>
      </w:pPr>
      <w:r>
        <w:rPr/>
      </w:r>
    </w:p>
    <w:tbl>
      <w:tblPr>
        <w:tblW w:w="10035" w:type="dxa"/>
        <w:jc w:val="left"/>
        <w:tblInd w:w="-113" w:type="dxa"/>
        <w:tblCellMar>
          <w:top w:w="0" w:type="dxa"/>
          <w:left w:w="108" w:type="dxa"/>
          <w:bottom w:w="0" w:type="dxa"/>
          <w:right w:w="108" w:type="dxa"/>
        </w:tblCellMar>
        <w:tblLook w:val="04a0" w:noHBand="0" w:noVBand="1" w:firstColumn="1" w:lastRow="0" w:lastColumn="0" w:firstRow="1"/>
      </w:tblPr>
      <w:tblGrid>
        <w:gridCol w:w="794"/>
        <w:gridCol w:w="2896"/>
        <w:gridCol w:w="1125"/>
        <w:gridCol w:w="915"/>
        <w:gridCol w:w="573"/>
        <w:gridCol w:w="1125"/>
        <w:gridCol w:w="1366"/>
        <w:gridCol w:w="1239"/>
      </w:tblGrid>
      <w:tr>
        <w:trPr/>
        <w:tc>
          <w:tcPr>
            <w:tcW w:w="794"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jc w:val="center"/>
              <w:rPr>
                <w:sz w:val="18"/>
                <w:szCs w:val="18"/>
              </w:rPr>
            </w:pPr>
            <w:r>
              <w:rPr>
                <w:rFonts w:cs="Arial" w:ascii="Calibri" w:hAnsi="Calibri"/>
                <w:b/>
                <w:bCs/>
                <w:i w:val="false"/>
                <w:iCs w:val="false"/>
                <w:color w:val="000000"/>
                <w:sz w:val="18"/>
                <w:szCs w:val="18"/>
              </w:rPr>
              <w:t>ITEM</w:t>
            </w:r>
          </w:p>
          <w:p>
            <w:pPr>
              <w:pStyle w:val="Normal"/>
              <w:widowControl w:val="false"/>
              <w:suppressAutoHyphens w:val="true"/>
              <w:jc w:val="center"/>
              <w:rPr>
                <w:rFonts w:ascii="Calibri" w:hAnsi="Calibri" w:cs="Arial"/>
                <w:b/>
                <w:b/>
                <w:bCs/>
                <w:i w:val="false"/>
                <w:i w:val="false"/>
                <w:iCs w:val="false"/>
                <w:color w:val="000000"/>
                <w:sz w:val="18"/>
                <w:szCs w:val="18"/>
              </w:rPr>
            </w:pPr>
            <w:r>
              <w:rPr>
                <w:rFonts w:cs="Arial" w:ascii="Calibri" w:hAnsi="Calibri"/>
                <w:b/>
                <w:bCs/>
                <w:i w:val="false"/>
                <w:iCs w:val="false"/>
                <w:color w:val="000000"/>
                <w:sz w:val="18"/>
                <w:szCs w:val="18"/>
              </w:rPr>
            </w:r>
          </w:p>
        </w:tc>
        <w:tc>
          <w:tcPr>
            <w:tcW w:w="2896" w:type="dxa"/>
            <w:tcBorders>
              <w:top w:val="single" w:sz="4" w:space="0" w:color="000000"/>
              <w:left w:val="single" w:sz="4" w:space="0" w:color="000000"/>
              <w:bottom w:val="single" w:sz="4" w:space="0" w:color="000000"/>
              <w:right w:val="single" w:sz="4" w:space="0" w:color="000000"/>
            </w:tcBorders>
          </w:tcPr>
          <w:p>
            <w:pPr>
              <w:pStyle w:val="Normal"/>
              <w:jc w:val="center"/>
              <w:rPr>
                <w:sz w:val="18"/>
                <w:szCs w:val="18"/>
              </w:rPr>
            </w:pPr>
            <w:r>
              <w:rPr>
                <w:rFonts w:cs="Arial" w:ascii="Calibri" w:hAnsi="Calibri"/>
                <w:b/>
                <w:bCs/>
                <w:i w:val="false"/>
                <w:iCs w:val="false"/>
                <w:color w:val="000000"/>
                <w:sz w:val="18"/>
                <w:szCs w:val="18"/>
              </w:rPr>
              <w:t>DESCRIÇÃO</w:t>
            </w:r>
          </w:p>
        </w:tc>
        <w:tc>
          <w:tcPr>
            <w:tcW w:w="1125"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jc w:val="center"/>
              <w:rPr>
                <w:sz w:val="18"/>
                <w:szCs w:val="18"/>
              </w:rPr>
            </w:pPr>
            <w:r>
              <w:rPr>
                <w:rFonts w:cs="Arial" w:ascii="Calibri" w:hAnsi="Calibri"/>
                <w:b/>
                <w:bCs/>
                <w:i w:val="false"/>
                <w:iCs w:val="false"/>
                <w:color w:val="000000"/>
                <w:sz w:val="18"/>
                <w:szCs w:val="18"/>
              </w:rPr>
              <w:t>CATMAT</w:t>
            </w:r>
          </w:p>
        </w:tc>
        <w:tc>
          <w:tcPr>
            <w:tcW w:w="915"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jc w:val="center"/>
              <w:rPr>
                <w:sz w:val="18"/>
                <w:szCs w:val="18"/>
              </w:rPr>
            </w:pPr>
            <w:r>
              <w:rPr>
                <w:rFonts w:cs="Arial" w:ascii="Calibri" w:hAnsi="Calibri"/>
                <w:b/>
                <w:bCs/>
                <w:i w:val="false"/>
                <w:iCs w:val="false"/>
                <w:color w:val="000000"/>
                <w:sz w:val="18"/>
                <w:szCs w:val="18"/>
              </w:rPr>
              <w:t>UN</w:t>
            </w:r>
            <w:r>
              <w:rPr>
                <w:rFonts w:eastAsia="Times New Roman" w:cs="Arial" w:ascii="Calibri" w:hAnsi="Calibri"/>
                <w:b/>
                <w:bCs/>
                <w:i w:val="false"/>
                <w:iCs w:val="false"/>
                <w:color w:val="000000"/>
                <w:sz w:val="18"/>
                <w:szCs w:val="18"/>
                <w:lang w:eastAsia="pt-BR"/>
              </w:rPr>
              <w:t>D</w:t>
            </w:r>
          </w:p>
        </w:tc>
        <w:tc>
          <w:tcPr>
            <w:tcW w:w="573"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jc w:val="center"/>
              <w:rPr>
                <w:sz w:val="18"/>
                <w:szCs w:val="18"/>
              </w:rPr>
            </w:pPr>
            <w:r>
              <w:rPr>
                <w:rFonts w:cs="Arial" w:ascii="Calibri" w:hAnsi="Calibri"/>
                <w:b/>
                <w:bCs/>
                <w:i w:val="false"/>
                <w:iCs w:val="false"/>
                <w:color w:val="000000"/>
                <w:sz w:val="18"/>
                <w:szCs w:val="18"/>
              </w:rPr>
              <w:t>Q</w:t>
            </w:r>
            <w:r>
              <w:rPr>
                <w:rFonts w:eastAsia="Times New Roman" w:cs="Arial" w:ascii="Calibri" w:hAnsi="Calibri"/>
                <w:b/>
                <w:bCs/>
                <w:i w:val="false"/>
                <w:iCs w:val="false"/>
                <w:color w:val="000000"/>
                <w:sz w:val="18"/>
                <w:szCs w:val="18"/>
                <w:lang w:eastAsia="pt-BR"/>
              </w:rPr>
              <w:t>TD</w:t>
            </w:r>
          </w:p>
        </w:tc>
        <w:tc>
          <w:tcPr>
            <w:tcW w:w="1125"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jc w:val="center"/>
              <w:rPr>
                <w:sz w:val="18"/>
                <w:szCs w:val="18"/>
              </w:rPr>
            </w:pPr>
            <w:r>
              <w:rPr>
                <w:rFonts w:cs="Arial" w:ascii="Calibri" w:hAnsi="Calibri"/>
                <w:b/>
                <w:bCs/>
                <w:i w:val="false"/>
                <w:iCs w:val="false"/>
                <w:color w:val="000000"/>
                <w:sz w:val="18"/>
                <w:szCs w:val="18"/>
              </w:rPr>
              <w:t>PREÇO ESTIMADO UNITÁRIO</w:t>
            </w:r>
          </w:p>
        </w:tc>
        <w:tc>
          <w:tcPr>
            <w:tcW w:w="1366"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jc w:val="center"/>
              <w:rPr>
                <w:sz w:val="18"/>
                <w:szCs w:val="18"/>
              </w:rPr>
            </w:pPr>
            <w:r>
              <w:rPr>
                <w:rFonts w:cs="Arial" w:ascii="Calibri" w:hAnsi="Calibri"/>
                <w:b/>
                <w:bCs/>
                <w:i w:val="false"/>
                <w:iCs w:val="false"/>
                <w:color w:val="000000"/>
                <w:sz w:val="18"/>
                <w:szCs w:val="18"/>
              </w:rPr>
              <w:t xml:space="preserve">LOCAL DE </w:t>
            </w:r>
            <w:r>
              <w:rPr>
                <w:rFonts w:eastAsia="Times New Roman" w:cs="Arial" w:ascii="Calibri" w:hAnsi="Calibri"/>
                <w:b/>
                <w:bCs/>
                <w:i w:val="false"/>
                <w:iCs w:val="false"/>
                <w:color w:val="000000"/>
                <w:sz w:val="18"/>
                <w:szCs w:val="18"/>
                <w:lang w:eastAsia="pt-BR"/>
              </w:rPr>
              <w:t>ENTREGA</w:t>
            </w:r>
          </w:p>
        </w:tc>
        <w:tc>
          <w:tcPr>
            <w:tcW w:w="1239"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jc w:val="center"/>
              <w:rPr>
                <w:sz w:val="18"/>
                <w:szCs w:val="18"/>
              </w:rPr>
            </w:pPr>
            <w:r>
              <w:rPr>
                <w:rFonts w:cs="Arial" w:ascii="Calibri" w:hAnsi="Calibri"/>
                <w:b/>
                <w:bCs/>
                <w:i w:val="false"/>
                <w:iCs w:val="false"/>
                <w:color w:val="000000"/>
                <w:sz w:val="18"/>
                <w:szCs w:val="18"/>
              </w:rPr>
              <w:t>PRAZO DE EXECUÇÃO</w:t>
            </w:r>
          </w:p>
        </w:tc>
      </w:tr>
      <w:tr>
        <w:trPr/>
        <w:tc>
          <w:tcPr>
            <w:tcW w:w="79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sz w:val="18"/>
                <w:szCs w:val="18"/>
              </w:rPr>
            </w:pPr>
            <w:r>
              <w:rPr>
                <w:rFonts w:cs="Arial" w:ascii="Calibri" w:hAnsi="Calibri"/>
                <w:b/>
                <w:i w:val="false"/>
                <w:iCs w:val="false"/>
                <w:color w:val="000000"/>
                <w:sz w:val="18"/>
                <w:szCs w:val="18"/>
              </w:rPr>
              <w:t>1</w:t>
            </w:r>
          </w:p>
        </w:tc>
        <w:tc>
          <w:tcPr>
            <w:tcW w:w="2896" w:type="dxa"/>
            <w:tcBorders>
              <w:top w:val="single" w:sz="4" w:space="0" w:color="000000"/>
              <w:left w:val="single" w:sz="4" w:space="0" w:color="000000"/>
              <w:bottom w:val="single" w:sz="4" w:space="0" w:color="000000"/>
              <w:right w:val="single" w:sz="4" w:space="0" w:color="000000"/>
            </w:tcBorders>
            <w:vAlign w:val="center"/>
          </w:tcPr>
          <w:p>
            <w:pPr>
              <w:pStyle w:val="Contedodatabela"/>
              <w:widowControl w:val="false"/>
              <w:suppressAutoHyphens w:val="true"/>
              <w:spacing w:lineRule="auto" w:line="240" w:before="0" w:after="0"/>
              <w:jc w:val="both"/>
              <w:rPr>
                <w:sz w:val="20"/>
                <w:szCs w:val="20"/>
              </w:rPr>
            </w:pPr>
            <w:r>
              <w:rPr>
                <w:rFonts w:ascii="CALIBRI" w:hAnsi="CALIBRI"/>
                <w:sz w:val="20"/>
                <w:szCs w:val="20"/>
              </w:rPr>
              <w:t>Batata Palha, tipo tradicional, pacote com 500 gramas</w:t>
            </w:r>
          </w:p>
        </w:tc>
        <w:tc>
          <w:tcPr>
            <w:tcW w:w="1125" w:type="dxa"/>
            <w:tcBorders>
              <w:top w:val="single" w:sz="4" w:space="0" w:color="000000"/>
              <w:left w:val="single" w:sz="4" w:space="0" w:color="000000"/>
              <w:bottom w:val="single" w:sz="4" w:space="0" w:color="000000"/>
              <w:right w:val="single" w:sz="4" w:space="0" w:color="000000"/>
            </w:tcBorders>
            <w:vAlign w:val="center"/>
          </w:tcPr>
          <w:p>
            <w:pPr>
              <w:pStyle w:val="Contedodatabela"/>
              <w:widowControl w:val="false"/>
              <w:suppressAutoHyphens w:val="true"/>
              <w:spacing w:lineRule="auto" w:line="276" w:before="0" w:after="120"/>
              <w:jc w:val="center"/>
              <w:rPr>
                <w:rFonts w:ascii="Calibri light" w:hAnsi="Calibri light"/>
                <w:color w:val="000000"/>
                <w:sz w:val="18"/>
                <w:szCs w:val="18"/>
              </w:rPr>
            </w:pPr>
            <w:r>
              <w:rPr>
                <w:rFonts w:cs="Arial" w:ascii="Calibri" w:hAnsi="Calibri"/>
                <w:i w:val="false"/>
                <w:iCs w:val="false"/>
                <w:color w:val="000000"/>
                <w:sz w:val="18"/>
                <w:szCs w:val="18"/>
              </w:rPr>
              <w:t>463707</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sz w:val="18"/>
                <w:szCs w:val="18"/>
              </w:rPr>
            </w:pPr>
            <w:r>
              <w:rPr>
                <w:rFonts w:cs="Arial" w:ascii="Calibri" w:hAnsi="Calibri"/>
                <w:i w:val="false"/>
                <w:iCs w:val="false"/>
                <w:color w:val="000000"/>
                <w:sz w:val="18"/>
                <w:szCs w:val="18"/>
              </w:rPr>
              <w:t>Pacote</w:t>
            </w:r>
          </w:p>
        </w:tc>
        <w:tc>
          <w:tcPr>
            <w:tcW w:w="5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eastAsia="Times New Roman" w:cs="Arial"/>
                <w:i w:val="false"/>
                <w:i w:val="false"/>
                <w:iCs w:val="false"/>
                <w:color w:val="000000"/>
                <w:kern w:val="0"/>
                <w:sz w:val="18"/>
                <w:szCs w:val="18"/>
                <w:lang w:val="pt-BR" w:eastAsia="pt-BR" w:bidi="ar-SA"/>
              </w:rPr>
            </w:pPr>
            <w:r>
              <w:rPr>
                <w:rFonts w:eastAsia="Times New Roman" w:cs="Arial" w:ascii="Calibri" w:hAnsi="Calibri"/>
                <w:i w:val="false"/>
                <w:iCs w:val="false"/>
                <w:color w:val="000000"/>
                <w:kern w:val="0"/>
                <w:sz w:val="18"/>
                <w:szCs w:val="18"/>
                <w:lang w:val="pt-BR" w:eastAsia="pt-BR" w:bidi="ar-SA"/>
              </w:rPr>
              <w:t>150</w:t>
            </w:r>
          </w:p>
        </w:tc>
        <w:tc>
          <w:tcPr>
            <w:tcW w:w="112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sz w:val="18"/>
                <w:szCs w:val="18"/>
              </w:rPr>
            </w:pPr>
            <w:r>
              <w:rPr>
                <w:rFonts w:cs="Arial" w:ascii="Calibri" w:hAnsi="Calibri"/>
                <w:i w:val="false"/>
                <w:iCs w:val="false"/>
                <w:color w:val="000000"/>
                <w:sz w:val="18"/>
                <w:szCs w:val="18"/>
              </w:rPr>
              <w:t>R$14,33</w:t>
            </w:r>
          </w:p>
        </w:tc>
        <w:tc>
          <w:tcPr>
            <w:tcW w:w="136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sz w:val="18"/>
                <w:szCs w:val="18"/>
              </w:rPr>
            </w:pPr>
            <w:r>
              <w:rPr>
                <w:rFonts w:cs="Arial" w:ascii="Calibri" w:hAnsi="Calibri"/>
                <w:i w:val="false"/>
                <w:iCs w:val="false"/>
                <w:color w:val="000000"/>
                <w:sz w:val="18"/>
                <w:szCs w:val="18"/>
              </w:rPr>
              <w:t>Lages/SC</w:t>
            </w:r>
          </w:p>
        </w:tc>
        <w:tc>
          <w:tcPr>
            <w:tcW w:w="123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sz w:val="18"/>
                <w:szCs w:val="18"/>
              </w:rPr>
            </w:pPr>
            <w:r>
              <w:rPr>
                <w:rFonts w:cs="Arial" w:ascii="Calibri" w:hAnsi="Calibri"/>
                <w:i w:val="false"/>
                <w:iCs w:val="false"/>
                <w:color w:val="000000"/>
                <w:sz w:val="18"/>
                <w:szCs w:val="18"/>
              </w:rPr>
              <w:t xml:space="preserve">08 </w:t>
            </w:r>
            <w:r>
              <w:rPr>
                <w:rFonts w:eastAsia="Times New Roman" w:cs="Arial" w:ascii="Calibri" w:hAnsi="Calibri"/>
                <w:i w:val="false"/>
                <w:iCs w:val="false"/>
                <w:color w:val="000000"/>
                <w:sz w:val="18"/>
                <w:szCs w:val="18"/>
                <w:lang w:eastAsia="pt-BR"/>
              </w:rPr>
              <w:t>dias</w:t>
            </w:r>
          </w:p>
        </w:tc>
      </w:tr>
      <w:tr>
        <w:trPr/>
        <w:tc>
          <w:tcPr>
            <w:tcW w:w="794"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both"/>
              <w:rPr>
                <w:b/>
                <w:b/>
                <w:bCs/>
                <w:sz w:val="18"/>
                <w:szCs w:val="18"/>
              </w:rPr>
            </w:pPr>
            <w:r>
              <w:rPr>
                <w:b/>
                <w:bCs/>
                <w:sz w:val="18"/>
                <w:szCs w:val="18"/>
              </w:rPr>
              <w:t xml:space="preserve">     </w:t>
            </w:r>
            <w:r>
              <w:rPr>
                <w:b/>
                <w:bCs/>
                <w:sz w:val="18"/>
                <w:szCs w:val="18"/>
              </w:rPr>
              <w:t>2</w:t>
            </w:r>
          </w:p>
        </w:tc>
        <w:tc>
          <w:tcPr>
            <w:tcW w:w="2896" w:type="dxa"/>
            <w:tcBorders>
              <w:left w:val="single" w:sz="4" w:space="0" w:color="000000"/>
              <w:bottom w:val="single" w:sz="4" w:space="0" w:color="000000"/>
              <w:right w:val="single" w:sz="4" w:space="0" w:color="000000"/>
            </w:tcBorders>
            <w:vAlign w:val="center"/>
          </w:tcPr>
          <w:p>
            <w:pPr>
              <w:pStyle w:val="Contedodatabela"/>
              <w:jc w:val="both"/>
              <w:rPr>
                <w:rFonts w:ascii="Calibri" w:hAnsi="Calibri"/>
                <w:sz w:val="18"/>
                <w:szCs w:val="18"/>
              </w:rPr>
            </w:pPr>
            <w:r>
              <w:rPr>
                <w:rFonts w:ascii="Calibri" w:hAnsi="Calibri"/>
                <w:sz w:val="18"/>
                <w:szCs w:val="18"/>
              </w:rPr>
              <w:t>Biscoito Doce tipo sortido, pacote com 400 gramas</w:t>
            </w:r>
          </w:p>
        </w:tc>
        <w:tc>
          <w:tcPr>
            <w:tcW w:w="1125" w:type="dxa"/>
            <w:tcBorders>
              <w:left w:val="single" w:sz="4" w:space="0" w:color="000000"/>
              <w:bottom w:val="single" w:sz="4" w:space="0" w:color="000000"/>
              <w:right w:val="single" w:sz="4" w:space="0" w:color="000000"/>
            </w:tcBorders>
            <w:vAlign w:val="center"/>
          </w:tcPr>
          <w:p>
            <w:pPr>
              <w:pStyle w:val="Contedodatabela"/>
              <w:widowControl w:val="false"/>
              <w:suppressAutoHyphens w:val="true"/>
              <w:spacing w:lineRule="auto" w:line="276" w:before="0" w:after="120"/>
              <w:jc w:val="center"/>
              <w:rPr>
                <w:rFonts w:ascii="Calibri" w:hAnsi="Calibri"/>
                <w:color w:val="000000"/>
                <w:sz w:val="18"/>
                <w:szCs w:val="18"/>
              </w:rPr>
            </w:pPr>
            <w:r>
              <w:rPr>
                <w:rFonts w:ascii="Calibri" w:hAnsi="Calibri"/>
                <w:color w:val="000000"/>
                <w:sz w:val="18"/>
                <w:szCs w:val="18"/>
              </w:rPr>
              <w:t>323480</w:t>
            </w:r>
          </w:p>
        </w:tc>
        <w:tc>
          <w:tcPr>
            <w:tcW w:w="91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Pacote</w:t>
            </w:r>
          </w:p>
        </w:tc>
        <w:tc>
          <w:tcPr>
            <w:tcW w:w="573"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80</w:t>
            </w:r>
          </w:p>
        </w:tc>
        <w:tc>
          <w:tcPr>
            <w:tcW w:w="112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R$ 5,81</w:t>
            </w:r>
          </w:p>
        </w:tc>
        <w:tc>
          <w:tcPr>
            <w:tcW w:w="1366"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Lages/ SC</w:t>
            </w:r>
          </w:p>
        </w:tc>
        <w:tc>
          <w:tcPr>
            <w:tcW w:w="1239"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08 dias</w:t>
            </w:r>
          </w:p>
        </w:tc>
      </w:tr>
      <w:tr>
        <w:trPr/>
        <w:tc>
          <w:tcPr>
            <w:tcW w:w="794"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both"/>
              <w:rPr>
                <w:b/>
                <w:b/>
                <w:bCs/>
                <w:sz w:val="18"/>
                <w:szCs w:val="18"/>
              </w:rPr>
            </w:pPr>
            <w:r>
              <w:rPr>
                <w:b/>
                <w:bCs/>
                <w:sz w:val="18"/>
                <w:szCs w:val="18"/>
              </w:rPr>
              <w:t xml:space="preserve">      </w:t>
            </w:r>
            <w:r>
              <w:rPr>
                <w:b/>
                <w:bCs/>
                <w:sz w:val="18"/>
                <w:szCs w:val="18"/>
              </w:rPr>
              <w:t>3</w:t>
            </w:r>
          </w:p>
        </w:tc>
        <w:tc>
          <w:tcPr>
            <w:tcW w:w="2896" w:type="dxa"/>
            <w:tcBorders>
              <w:left w:val="single" w:sz="4" w:space="0" w:color="000000"/>
              <w:bottom w:val="single" w:sz="4" w:space="0" w:color="000000"/>
              <w:right w:val="single" w:sz="4" w:space="0" w:color="000000"/>
            </w:tcBorders>
            <w:vAlign w:val="center"/>
          </w:tcPr>
          <w:p>
            <w:pPr>
              <w:pStyle w:val="Contedodatabela"/>
              <w:jc w:val="both"/>
              <w:rPr>
                <w:rFonts w:ascii="Calibri" w:hAnsi="Calibri"/>
                <w:sz w:val="18"/>
                <w:szCs w:val="18"/>
              </w:rPr>
            </w:pPr>
            <w:r>
              <w:rPr>
                <w:rFonts w:ascii="Calibri light" w:hAnsi="Calibri light"/>
                <w:color w:val="000000"/>
                <w:sz w:val="20"/>
                <w:szCs w:val="20"/>
              </w:rPr>
              <w:t>Caldo de carne tipo concentrado, consistência pastosa, sabor Carne, apresentação em caixa com 6 cubos 57gr cada</w:t>
            </w:r>
          </w:p>
        </w:tc>
        <w:tc>
          <w:tcPr>
            <w:tcW w:w="1125" w:type="dxa"/>
            <w:tcBorders>
              <w:left w:val="single" w:sz="4" w:space="0" w:color="000000"/>
              <w:bottom w:val="single" w:sz="4" w:space="0" w:color="000000"/>
              <w:right w:val="single" w:sz="4" w:space="0" w:color="000000"/>
            </w:tcBorders>
            <w:vAlign w:val="center"/>
          </w:tcPr>
          <w:p>
            <w:pPr>
              <w:pStyle w:val="Contedodatabela"/>
              <w:widowControl w:val="false"/>
              <w:suppressAutoHyphens w:val="true"/>
              <w:spacing w:lineRule="auto" w:line="276" w:before="0" w:after="120"/>
              <w:jc w:val="center"/>
              <w:rPr>
                <w:rFonts w:ascii="Calibri light" w:hAnsi="Calibri light"/>
                <w:color w:val="000000"/>
                <w:sz w:val="20"/>
                <w:szCs w:val="20"/>
              </w:rPr>
            </w:pPr>
            <w:r>
              <w:rPr>
                <w:rFonts w:ascii="Calibri light" w:hAnsi="Calibri light"/>
                <w:color w:val="000000"/>
                <w:sz w:val="20"/>
                <w:szCs w:val="20"/>
              </w:rPr>
              <w:t>241572</w:t>
            </w:r>
          </w:p>
        </w:tc>
        <w:tc>
          <w:tcPr>
            <w:tcW w:w="91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u w:val="none"/>
              </w:rPr>
            </w:pPr>
            <w:r>
              <w:rPr>
                <w:rFonts w:ascii="Calibri" w:hAnsi="Calibri"/>
                <w:sz w:val="18"/>
                <w:szCs w:val="18"/>
                <w:u w:val="none"/>
              </w:rPr>
              <w:t>Caixa</w:t>
            </w:r>
          </w:p>
        </w:tc>
        <w:tc>
          <w:tcPr>
            <w:tcW w:w="573"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200</w:t>
            </w:r>
          </w:p>
        </w:tc>
        <w:tc>
          <w:tcPr>
            <w:tcW w:w="112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R$ 1,45</w:t>
            </w:r>
          </w:p>
        </w:tc>
        <w:tc>
          <w:tcPr>
            <w:tcW w:w="1366"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pPr>
            <w:r>
              <w:rPr>
                <w:rFonts w:ascii="Calibri" w:hAnsi="Calibri"/>
                <w:sz w:val="18"/>
                <w:szCs w:val="18"/>
              </w:rPr>
              <w:t>Lages/ SC</w:t>
            </w:r>
          </w:p>
        </w:tc>
        <w:tc>
          <w:tcPr>
            <w:tcW w:w="1239"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08 dias</w:t>
            </w:r>
          </w:p>
        </w:tc>
      </w:tr>
      <w:tr>
        <w:trPr/>
        <w:tc>
          <w:tcPr>
            <w:tcW w:w="794"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pPr>
            <w:r>
              <w:rPr/>
              <w:t>4</w:t>
            </w:r>
          </w:p>
        </w:tc>
        <w:tc>
          <w:tcPr>
            <w:tcW w:w="2896" w:type="dxa"/>
            <w:tcBorders>
              <w:left w:val="single" w:sz="4" w:space="0" w:color="000000"/>
              <w:bottom w:val="single" w:sz="4" w:space="0" w:color="000000"/>
              <w:right w:val="single" w:sz="4" w:space="0" w:color="000000"/>
            </w:tcBorders>
            <w:vAlign w:val="center"/>
          </w:tcPr>
          <w:p>
            <w:pPr>
              <w:pStyle w:val="Contedodatabela"/>
              <w:jc w:val="both"/>
              <w:rPr>
                <w:rFonts w:ascii="CALIBRI" w:hAnsi="CALIBRI"/>
                <w:color w:val="000000"/>
                <w:sz w:val="20"/>
                <w:szCs w:val="20"/>
              </w:rPr>
            </w:pPr>
            <w:r>
              <w:rPr>
                <w:rFonts w:ascii="CALIBRI" w:hAnsi="CALIBRI"/>
                <w:color w:val="000000"/>
                <w:sz w:val="20"/>
                <w:szCs w:val="20"/>
              </w:rPr>
              <w:t>Caldo de galinha tipo concentrado, consistência pastosa, sabor Galinha, apresentação em caixa com 6 cubos 57gr cada</w:t>
            </w:r>
          </w:p>
        </w:tc>
        <w:tc>
          <w:tcPr>
            <w:tcW w:w="1125" w:type="dxa"/>
            <w:tcBorders>
              <w:left w:val="single" w:sz="4" w:space="0" w:color="000000"/>
              <w:bottom w:val="single" w:sz="4" w:space="0" w:color="000000"/>
              <w:right w:val="single" w:sz="4" w:space="0" w:color="000000"/>
            </w:tcBorders>
            <w:vAlign w:val="center"/>
          </w:tcPr>
          <w:p>
            <w:pPr>
              <w:pStyle w:val="Contedodatabela"/>
              <w:widowControl w:val="false"/>
              <w:suppressAutoHyphens w:val="true"/>
              <w:spacing w:lineRule="auto" w:line="276" w:before="0" w:after="120"/>
              <w:jc w:val="center"/>
              <w:rPr>
                <w:rFonts w:ascii="CALIBRI" w:hAnsi="CALIBRI"/>
                <w:b w:val="false"/>
                <w:b w:val="false"/>
                <w:bCs w:val="false"/>
                <w:color w:val="000000"/>
                <w:sz w:val="18"/>
                <w:szCs w:val="18"/>
              </w:rPr>
            </w:pPr>
            <w:r>
              <w:rPr>
                <w:rFonts w:ascii="CALIBRI" w:hAnsi="CALIBRI"/>
                <w:b w:val="false"/>
                <w:bCs w:val="false"/>
                <w:color w:val="000000"/>
                <w:sz w:val="18"/>
                <w:szCs w:val="18"/>
              </w:rPr>
              <w:t>241571</w:t>
            </w:r>
          </w:p>
        </w:tc>
        <w:tc>
          <w:tcPr>
            <w:tcW w:w="91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u w:val="none"/>
              </w:rPr>
            </w:pPr>
            <w:r>
              <w:rPr/>
              <w:t>Caixa</w:t>
            </w:r>
          </w:p>
        </w:tc>
        <w:tc>
          <w:tcPr>
            <w:tcW w:w="573"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200</w:t>
            </w:r>
          </w:p>
        </w:tc>
        <w:tc>
          <w:tcPr>
            <w:tcW w:w="112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R$ 1,45</w:t>
            </w:r>
          </w:p>
        </w:tc>
        <w:tc>
          <w:tcPr>
            <w:tcW w:w="1366"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Lages/ SC</w:t>
            </w:r>
          </w:p>
        </w:tc>
        <w:tc>
          <w:tcPr>
            <w:tcW w:w="1239"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08 dias</w:t>
            </w:r>
          </w:p>
        </w:tc>
      </w:tr>
      <w:tr>
        <w:trPr/>
        <w:tc>
          <w:tcPr>
            <w:tcW w:w="794"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pPr>
            <w:r>
              <w:rPr/>
              <w:t>5</w:t>
            </w:r>
          </w:p>
        </w:tc>
        <w:tc>
          <w:tcPr>
            <w:tcW w:w="2896" w:type="dxa"/>
            <w:tcBorders>
              <w:left w:val="single" w:sz="4" w:space="0" w:color="000000"/>
              <w:bottom w:val="single" w:sz="4" w:space="0" w:color="000000"/>
              <w:right w:val="single" w:sz="4" w:space="0" w:color="000000"/>
            </w:tcBorders>
            <w:vAlign w:val="center"/>
          </w:tcPr>
          <w:p>
            <w:pPr>
              <w:pStyle w:val="Contedodatabela"/>
              <w:widowControl/>
              <w:tabs>
                <w:tab w:val="clear" w:pos="708"/>
                <w:tab w:val="left" w:pos="1445" w:leader="none"/>
              </w:tabs>
              <w:spacing w:lineRule="auto" w:line="240" w:before="113" w:after="0"/>
              <w:jc w:val="both"/>
              <w:rPr>
                <w:rFonts w:ascii="CALIBRI" w:hAnsi="CALIBRI" w:eastAsia="Calibri" w:cs="Calibri"/>
                <w:i w:val="false"/>
                <w:i w:val="false"/>
                <w:color w:val="000000"/>
                <w:sz w:val="20"/>
                <w:szCs w:val="20"/>
                <w:u w:val="none"/>
              </w:rPr>
            </w:pPr>
            <w:r>
              <w:rPr>
                <w:rFonts w:eastAsia="Calibri" w:cs="Calibri" w:ascii="CALIBRI" w:hAnsi="CALIBRI"/>
                <w:i w:val="false"/>
                <w:color w:val="000000"/>
                <w:sz w:val="20"/>
                <w:szCs w:val="20"/>
                <w:u w:val="none"/>
              </w:rPr>
              <w:t>Chocolate granulado, pacote com 500 gramas</w:t>
            </w:r>
          </w:p>
        </w:tc>
        <w:tc>
          <w:tcPr>
            <w:tcW w:w="1125" w:type="dxa"/>
            <w:tcBorders>
              <w:left w:val="single" w:sz="4" w:space="0" w:color="000000"/>
              <w:bottom w:val="single" w:sz="4" w:space="0" w:color="000000"/>
              <w:right w:val="single" w:sz="4" w:space="0" w:color="000000"/>
            </w:tcBorders>
            <w:vAlign w:val="center"/>
          </w:tcPr>
          <w:p>
            <w:pPr>
              <w:pStyle w:val="Contedodatabela"/>
              <w:keepNext w:val="false"/>
              <w:keepLines w:val="false"/>
              <w:widowControl w:val="false"/>
              <w:suppressAutoHyphens w:val="true"/>
              <w:spacing w:lineRule="auto" w:line="240" w:before="0" w:after="0"/>
              <w:ind w:left="0" w:right="0" w:hanging="0"/>
              <w:jc w:val="center"/>
              <w:rPr>
                <w:rFonts w:ascii="CALIBRI" w:hAnsi="CALIBRI" w:eastAsia="Calibri" w:cs="Calibri"/>
                <w:b w:val="false"/>
                <w:b w:val="false"/>
                <w:bCs w:val="false"/>
                <w:i w:val="false"/>
                <w:i w:val="false"/>
                <w:caps w:val="false"/>
                <w:smallCaps w:val="false"/>
                <w:strike w:val="false"/>
                <w:dstrike w:val="false"/>
                <w:color w:val="000000"/>
                <w:position w:val="0"/>
                <w:sz w:val="20"/>
                <w:sz w:val="20"/>
                <w:szCs w:val="20"/>
                <w:u w:val="none"/>
                <w:vertAlign w:val="baseline"/>
              </w:rPr>
            </w:pPr>
            <w:r>
              <w:rPr>
                <w:rFonts w:eastAsia="Calibri" w:cs="Calibri" w:ascii="CALIBRI" w:hAnsi="CALIBRI"/>
                <w:b w:val="false"/>
                <w:bCs w:val="false"/>
                <w:i w:val="false"/>
                <w:caps w:val="false"/>
                <w:smallCaps w:val="false"/>
                <w:strike w:val="false"/>
                <w:dstrike w:val="false"/>
                <w:color w:val="000000"/>
                <w:position w:val="0"/>
                <w:sz w:val="20"/>
                <w:sz w:val="20"/>
                <w:szCs w:val="20"/>
                <w:u w:val="none"/>
                <w:vertAlign w:val="baseline"/>
              </w:rPr>
              <w:t>471259</w:t>
            </w:r>
          </w:p>
        </w:tc>
        <w:tc>
          <w:tcPr>
            <w:tcW w:w="91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u w:val="none"/>
              </w:rPr>
            </w:pPr>
            <w:r>
              <w:rPr/>
              <w:t>Pacote</w:t>
            </w:r>
          </w:p>
        </w:tc>
        <w:tc>
          <w:tcPr>
            <w:tcW w:w="573"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60</w:t>
            </w:r>
          </w:p>
        </w:tc>
        <w:tc>
          <w:tcPr>
            <w:tcW w:w="112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R$ 8,95</w:t>
            </w:r>
          </w:p>
        </w:tc>
        <w:tc>
          <w:tcPr>
            <w:tcW w:w="1366"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Lages/ SC</w:t>
            </w:r>
          </w:p>
        </w:tc>
        <w:tc>
          <w:tcPr>
            <w:tcW w:w="1239"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08 dias</w:t>
            </w:r>
          </w:p>
        </w:tc>
      </w:tr>
      <w:tr>
        <w:trPr/>
        <w:tc>
          <w:tcPr>
            <w:tcW w:w="794"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pPr>
            <w:r>
              <w:rPr/>
              <w:t>6</w:t>
            </w:r>
          </w:p>
        </w:tc>
        <w:tc>
          <w:tcPr>
            <w:tcW w:w="2896" w:type="dxa"/>
            <w:tcBorders>
              <w:left w:val="single" w:sz="4" w:space="0" w:color="000000"/>
              <w:bottom w:val="single" w:sz="4" w:space="0" w:color="000000"/>
              <w:right w:val="single" w:sz="4" w:space="0" w:color="000000"/>
            </w:tcBorders>
            <w:vAlign w:val="center"/>
          </w:tcPr>
          <w:p>
            <w:pPr>
              <w:pStyle w:val="Contedodatabela"/>
              <w:widowControl/>
              <w:tabs>
                <w:tab w:val="clear" w:pos="708"/>
                <w:tab w:val="left" w:pos="1445" w:leader="none"/>
              </w:tabs>
              <w:spacing w:lineRule="auto" w:line="240" w:before="113" w:after="0"/>
              <w:jc w:val="both"/>
              <w:rPr>
                <w:rFonts w:ascii="CALIBRI" w:hAnsi="CALIBRI" w:eastAsia="Calibri" w:cs="Calibri"/>
                <w:i w:val="false"/>
                <w:i w:val="false"/>
                <w:color w:val="000000"/>
                <w:sz w:val="20"/>
                <w:szCs w:val="20"/>
                <w:u w:val="none"/>
              </w:rPr>
            </w:pPr>
            <w:r>
              <w:rPr>
                <w:rFonts w:eastAsia="Calibri" w:cs="Calibri" w:ascii="CALIBRI" w:hAnsi="CALIBRI"/>
                <w:i w:val="false"/>
                <w:color w:val="000000"/>
                <w:sz w:val="20"/>
                <w:szCs w:val="20"/>
                <w:u w:val="none"/>
              </w:rPr>
              <w:t>Côco ralado, pacote 100 gramas</w:t>
            </w:r>
          </w:p>
        </w:tc>
        <w:tc>
          <w:tcPr>
            <w:tcW w:w="1125" w:type="dxa"/>
            <w:tcBorders>
              <w:left w:val="single" w:sz="4" w:space="0" w:color="000000"/>
              <w:bottom w:val="single" w:sz="4" w:space="0" w:color="000000"/>
              <w:right w:val="single" w:sz="4" w:space="0" w:color="000000"/>
            </w:tcBorders>
            <w:vAlign w:val="center"/>
          </w:tcPr>
          <w:p>
            <w:pPr>
              <w:pStyle w:val="Contedodatabela"/>
              <w:keepNext w:val="false"/>
              <w:keepLines w:val="false"/>
              <w:widowControl w:val="false"/>
              <w:suppressAutoHyphens w:val="true"/>
              <w:spacing w:lineRule="auto" w:line="240" w:before="0" w:after="0"/>
              <w:ind w:left="0" w:right="0" w:hanging="0"/>
              <w:jc w:val="center"/>
              <w:rPr>
                <w:rFonts w:ascii="CALIBRI" w:hAnsi="CALIBRI" w:eastAsia="Calibri" w:cs="Calibri"/>
                <w:b w:val="false"/>
                <w:b w:val="false"/>
                <w:bCs w:val="false"/>
                <w:i w:val="false"/>
                <w:i w:val="false"/>
                <w:caps w:val="false"/>
                <w:smallCaps w:val="false"/>
                <w:strike w:val="false"/>
                <w:dstrike w:val="false"/>
                <w:color w:val="000000"/>
                <w:position w:val="0"/>
                <w:sz w:val="20"/>
                <w:sz w:val="20"/>
                <w:szCs w:val="20"/>
                <w:u w:val="none"/>
                <w:vertAlign w:val="baseline"/>
              </w:rPr>
            </w:pPr>
            <w:r>
              <w:rPr>
                <w:rFonts w:eastAsia="Calibri" w:cs="Calibri" w:ascii="CALIBRI" w:hAnsi="CALIBRI"/>
                <w:b w:val="false"/>
                <w:bCs w:val="false"/>
                <w:i w:val="false"/>
                <w:caps w:val="false"/>
                <w:smallCaps w:val="false"/>
                <w:strike w:val="false"/>
                <w:dstrike w:val="false"/>
                <w:color w:val="000000"/>
                <w:position w:val="0"/>
                <w:sz w:val="20"/>
                <w:sz w:val="20"/>
                <w:szCs w:val="20"/>
                <w:u w:val="none"/>
                <w:vertAlign w:val="baseline"/>
              </w:rPr>
              <w:t>237916</w:t>
            </w:r>
          </w:p>
        </w:tc>
        <w:tc>
          <w:tcPr>
            <w:tcW w:w="91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u w:val="none"/>
              </w:rPr>
            </w:pPr>
            <w:r>
              <w:rPr/>
              <w:t>Pacote</w:t>
            </w:r>
          </w:p>
        </w:tc>
        <w:tc>
          <w:tcPr>
            <w:tcW w:w="573"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150</w:t>
            </w:r>
          </w:p>
        </w:tc>
        <w:tc>
          <w:tcPr>
            <w:tcW w:w="112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R$ 5,25</w:t>
            </w:r>
          </w:p>
        </w:tc>
        <w:tc>
          <w:tcPr>
            <w:tcW w:w="1366"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Lages/ SC</w:t>
            </w:r>
          </w:p>
        </w:tc>
        <w:tc>
          <w:tcPr>
            <w:tcW w:w="1239"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08 dias</w:t>
            </w:r>
          </w:p>
        </w:tc>
      </w:tr>
      <w:tr>
        <w:trPr/>
        <w:tc>
          <w:tcPr>
            <w:tcW w:w="794"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pPr>
            <w:r>
              <w:rPr/>
              <w:t>7</w:t>
            </w:r>
          </w:p>
        </w:tc>
        <w:tc>
          <w:tcPr>
            <w:tcW w:w="2896" w:type="dxa"/>
            <w:tcBorders>
              <w:left w:val="single" w:sz="4" w:space="0" w:color="000000"/>
              <w:bottom w:val="single" w:sz="4" w:space="0" w:color="000000"/>
              <w:right w:val="single" w:sz="4" w:space="0" w:color="000000"/>
            </w:tcBorders>
            <w:vAlign w:val="center"/>
          </w:tcPr>
          <w:p>
            <w:pPr>
              <w:pStyle w:val="Contedodatabela"/>
              <w:widowControl/>
              <w:tabs>
                <w:tab w:val="clear" w:pos="708"/>
                <w:tab w:val="left" w:pos="1445" w:leader="none"/>
              </w:tabs>
              <w:spacing w:lineRule="auto" w:line="240" w:before="113" w:after="0"/>
              <w:jc w:val="both"/>
              <w:rPr>
                <w:rFonts w:ascii="CALIBRI" w:hAnsi="CALIBRI" w:eastAsia="Calibri" w:cs="Calibri"/>
                <w:i w:val="false"/>
                <w:i w:val="false"/>
                <w:color w:val="000000"/>
                <w:sz w:val="20"/>
                <w:szCs w:val="20"/>
                <w:u w:val="none"/>
              </w:rPr>
            </w:pPr>
            <w:r>
              <w:rPr>
                <w:rFonts w:eastAsia="Calibri" w:cs="Calibri" w:ascii="CALIBRI" w:hAnsi="CALIBRI"/>
                <w:i w:val="false"/>
                <w:color w:val="000000"/>
                <w:sz w:val="20"/>
                <w:szCs w:val="20"/>
                <w:u w:val="none"/>
              </w:rPr>
              <w:t>Refrigerante 2,5 Litros, de 1ª linha de mercado sabor guaraná</w:t>
            </w:r>
          </w:p>
        </w:tc>
        <w:tc>
          <w:tcPr>
            <w:tcW w:w="1125" w:type="dxa"/>
            <w:tcBorders>
              <w:left w:val="single" w:sz="4" w:space="0" w:color="000000"/>
              <w:bottom w:val="single" w:sz="4" w:space="0" w:color="000000"/>
              <w:right w:val="single" w:sz="4" w:space="0" w:color="000000"/>
            </w:tcBorders>
            <w:vAlign w:val="center"/>
          </w:tcPr>
          <w:p>
            <w:pPr>
              <w:pStyle w:val="Contedodatabela"/>
              <w:keepNext w:val="false"/>
              <w:keepLines w:val="false"/>
              <w:widowControl w:val="false"/>
              <w:suppressAutoHyphens w:val="true"/>
              <w:spacing w:lineRule="auto" w:line="240" w:before="0" w:after="0"/>
              <w:ind w:left="0" w:right="0" w:hanging="0"/>
              <w:jc w:val="center"/>
              <w:rPr>
                <w:rFonts w:ascii="CALIBRI" w:hAnsi="CALIBRI" w:eastAsia="Calibri" w:cs="Calibri"/>
                <w:b w:val="false"/>
                <w:b w:val="false"/>
                <w:bCs w:val="false"/>
                <w:i w:val="false"/>
                <w:i w:val="false"/>
                <w:caps w:val="false"/>
                <w:smallCaps w:val="false"/>
                <w:strike w:val="false"/>
                <w:dstrike w:val="false"/>
                <w:color w:val="000000"/>
                <w:position w:val="0"/>
                <w:sz w:val="20"/>
                <w:sz w:val="20"/>
                <w:szCs w:val="20"/>
                <w:u w:val="none"/>
                <w:vertAlign w:val="baseline"/>
              </w:rPr>
            </w:pPr>
            <w:r>
              <w:rPr>
                <w:rFonts w:eastAsia="Calibri" w:cs="Calibri" w:ascii="CALIBRI" w:hAnsi="CALIBRI"/>
                <w:b w:val="false"/>
                <w:bCs w:val="false"/>
                <w:i w:val="false"/>
                <w:caps w:val="false"/>
                <w:smallCaps w:val="false"/>
                <w:strike w:val="false"/>
                <w:dstrike w:val="false"/>
                <w:color w:val="000000"/>
                <w:position w:val="0"/>
                <w:sz w:val="20"/>
                <w:sz w:val="20"/>
                <w:szCs w:val="20"/>
                <w:u w:val="none"/>
                <w:vertAlign w:val="baseline"/>
              </w:rPr>
              <w:t>217785</w:t>
            </w:r>
          </w:p>
        </w:tc>
        <w:tc>
          <w:tcPr>
            <w:tcW w:w="91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u w:val="none"/>
              </w:rPr>
            </w:pPr>
            <w:r>
              <w:rPr>
                <w:u w:val="none"/>
              </w:rPr>
              <w:t>Und</w:t>
            </w:r>
          </w:p>
        </w:tc>
        <w:tc>
          <w:tcPr>
            <w:tcW w:w="573"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80</w:t>
            </w:r>
          </w:p>
        </w:tc>
        <w:tc>
          <w:tcPr>
            <w:tcW w:w="112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R$  7,40</w:t>
            </w:r>
          </w:p>
        </w:tc>
        <w:tc>
          <w:tcPr>
            <w:tcW w:w="1366"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Lages/ SC</w:t>
            </w:r>
          </w:p>
        </w:tc>
        <w:tc>
          <w:tcPr>
            <w:tcW w:w="1239"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08 dias</w:t>
            </w:r>
          </w:p>
        </w:tc>
      </w:tr>
      <w:tr>
        <w:trPr/>
        <w:tc>
          <w:tcPr>
            <w:tcW w:w="794"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pPr>
            <w:r>
              <w:rPr/>
              <w:t>8</w:t>
            </w:r>
          </w:p>
        </w:tc>
        <w:tc>
          <w:tcPr>
            <w:tcW w:w="2896" w:type="dxa"/>
            <w:tcBorders>
              <w:left w:val="single" w:sz="4" w:space="0" w:color="000000"/>
              <w:bottom w:val="single" w:sz="4" w:space="0" w:color="000000"/>
              <w:right w:val="single" w:sz="4" w:space="0" w:color="000000"/>
            </w:tcBorders>
            <w:vAlign w:val="center"/>
          </w:tcPr>
          <w:p>
            <w:pPr>
              <w:pStyle w:val="Contedodatabela"/>
              <w:widowControl/>
              <w:tabs>
                <w:tab w:val="clear" w:pos="708"/>
                <w:tab w:val="left" w:pos="1445" w:leader="none"/>
              </w:tabs>
              <w:spacing w:lineRule="auto" w:line="240" w:before="113" w:after="0"/>
              <w:jc w:val="both"/>
              <w:rPr>
                <w:rFonts w:ascii="CALIBRI" w:hAnsi="CALIBRI" w:eastAsia="Calibri" w:cs="Calibri"/>
                <w:i w:val="false"/>
                <w:i w:val="false"/>
                <w:color w:val="000000"/>
                <w:sz w:val="20"/>
                <w:szCs w:val="20"/>
                <w:u w:val="none"/>
              </w:rPr>
            </w:pPr>
            <w:r>
              <w:rPr>
                <w:rFonts w:eastAsia="Calibri" w:cs="Calibri" w:ascii="CALIBRI" w:hAnsi="CALIBRI"/>
                <w:i w:val="false"/>
                <w:color w:val="000000"/>
                <w:sz w:val="20"/>
                <w:szCs w:val="20"/>
                <w:u w:val="none"/>
              </w:rPr>
              <w:t>Queijo Mussarela, resfriado, fatiado, tipo 1ª Linha</w:t>
            </w:r>
          </w:p>
        </w:tc>
        <w:tc>
          <w:tcPr>
            <w:tcW w:w="1125" w:type="dxa"/>
            <w:tcBorders>
              <w:left w:val="single" w:sz="4" w:space="0" w:color="000000"/>
              <w:bottom w:val="single" w:sz="4" w:space="0" w:color="000000"/>
              <w:right w:val="single" w:sz="4" w:space="0" w:color="000000"/>
            </w:tcBorders>
            <w:vAlign w:val="center"/>
          </w:tcPr>
          <w:p>
            <w:pPr>
              <w:pStyle w:val="Contedodatabela"/>
              <w:keepNext w:val="false"/>
              <w:keepLines w:val="false"/>
              <w:widowControl w:val="false"/>
              <w:suppressAutoHyphens w:val="true"/>
              <w:spacing w:lineRule="auto" w:line="240" w:before="0" w:after="0"/>
              <w:ind w:left="0" w:right="0" w:hanging="0"/>
              <w:jc w:val="center"/>
              <w:rPr>
                <w:rFonts w:ascii="CALIBRI" w:hAnsi="CALIBRI" w:eastAsia="Calibri" w:cs="Calibri"/>
                <w:b w:val="false"/>
                <w:b w:val="false"/>
                <w:bCs w:val="false"/>
                <w:i w:val="false"/>
                <w:i w:val="false"/>
                <w:caps w:val="false"/>
                <w:smallCaps w:val="false"/>
                <w:strike w:val="false"/>
                <w:dstrike w:val="false"/>
                <w:color w:val="000000"/>
                <w:position w:val="0"/>
                <w:sz w:val="20"/>
                <w:sz w:val="18"/>
                <w:szCs w:val="18"/>
                <w:u w:val="none"/>
                <w:vertAlign w:val="baseline"/>
              </w:rPr>
            </w:pPr>
            <w:r>
              <w:rPr>
                <w:rFonts w:eastAsia="Calibri" w:cs="Calibri" w:ascii="CALIBRI" w:hAnsi="CALIBRI"/>
                <w:b w:val="false"/>
                <w:bCs w:val="false"/>
                <w:i w:val="false"/>
                <w:caps w:val="false"/>
                <w:smallCaps w:val="false"/>
                <w:strike w:val="false"/>
                <w:dstrike w:val="false"/>
                <w:color w:val="000000"/>
                <w:position w:val="0"/>
                <w:sz w:val="18"/>
                <w:sz w:val="18"/>
                <w:szCs w:val="18"/>
                <w:u w:val="none"/>
                <w:vertAlign w:val="baseline"/>
              </w:rPr>
              <w:t>446633</w:t>
            </w:r>
          </w:p>
        </w:tc>
        <w:tc>
          <w:tcPr>
            <w:tcW w:w="91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u w:val="none"/>
              </w:rPr>
            </w:pPr>
            <w:r>
              <w:rPr>
                <w:u w:val="none"/>
              </w:rPr>
              <w:t>KG</w:t>
            </w:r>
          </w:p>
        </w:tc>
        <w:tc>
          <w:tcPr>
            <w:tcW w:w="573"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100</w:t>
            </w:r>
          </w:p>
        </w:tc>
        <w:tc>
          <w:tcPr>
            <w:tcW w:w="1125"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t>R$ 41,74</w:t>
            </w:r>
          </w:p>
        </w:tc>
        <w:tc>
          <w:tcPr>
            <w:tcW w:w="1366"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Lages/ SC</w:t>
            </w:r>
          </w:p>
        </w:tc>
        <w:tc>
          <w:tcPr>
            <w:tcW w:w="1239" w:type="dxa"/>
            <w:tcBorders>
              <w:left w:val="single" w:sz="4" w:space="0" w:color="000000"/>
              <w:bottom w:val="single" w:sz="4" w:space="0" w:color="000000"/>
              <w:right w:val="single" w:sz="4" w:space="0" w:color="000000"/>
            </w:tcBorders>
            <w:vAlign w:val="center"/>
          </w:tcPr>
          <w:p>
            <w:pPr>
              <w:pStyle w:val="Normal"/>
              <w:widowControl w:val="false"/>
              <w:suppressAutoHyphens w:val="true"/>
              <w:spacing w:lineRule="auto" w:line="276" w:before="0" w:after="120"/>
              <w:jc w:val="center"/>
              <w:rPr>
                <w:rFonts w:ascii="Calibri" w:hAnsi="Calibri"/>
                <w:sz w:val="18"/>
                <w:szCs w:val="18"/>
              </w:rPr>
            </w:pPr>
            <w:r>
              <w:rPr>
                <w:rFonts w:ascii="Calibri" w:hAnsi="Calibri"/>
                <w:sz w:val="18"/>
                <w:szCs w:val="18"/>
              </w:rPr>
              <w:t>08 dias</w:t>
            </w:r>
          </w:p>
        </w:tc>
      </w:tr>
    </w:tbl>
    <w:p>
      <w:pPr>
        <w:pStyle w:val="PADRO"/>
        <w:keepNext w:val="false"/>
        <w:widowControl/>
        <w:numPr>
          <w:ilvl w:val="0"/>
          <w:numId w:val="0"/>
        </w:numPr>
        <w:shd w:val="clear" w:color="auto" w:fill="auto"/>
        <w:spacing w:lineRule="auto" w:line="276" w:before="113" w:after="113"/>
        <w:ind w:left="1224" w:hanging="0"/>
        <w:rPr>
          <w:rFonts w:ascii="Calibri" w:hAnsi="Calibri"/>
          <w:i w:val="false"/>
          <w:i w:val="false"/>
          <w:iCs w:val="false"/>
          <w:color w:val="000000"/>
        </w:rPr>
      </w:pPr>
      <w:r>
        <w:rPr>
          <w:rFonts w:cs="Arial" w:ascii="Calibri" w:hAnsi="Calibri"/>
          <w:i w:val="false"/>
          <w:iCs w:val="false"/>
          <w:color w:val="000000"/>
          <w:sz w:val="24"/>
        </w:rPr>
        <w:t>1.2.1. Havendo mais de item ou lote faculta-se ao fornecedor a participação em quantos forem de seu interesse. Entretanto, optando-se por participar de um lote, deve o fornecedor enviar proposta para todos os itens que o compõem.</w:t>
      </w:r>
    </w:p>
    <w:p>
      <w:pPr>
        <w:pStyle w:val="PADRO"/>
        <w:keepNext w:val="true"/>
        <w:widowControl/>
        <w:numPr>
          <w:ilvl w:val="0"/>
          <w:numId w:val="0"/>
        </w:numPr>
        <w:shd w:val="clear" w:color="auto" w:fill="auto"/>
        <w:suppressAutoHyphens w:val="true"/>
        <w:bidi w:val="0"/>
        <w:spacing w:lineRule="auto" w:line="276" w:before="113" w:after="113"/>
        <w:ind w:left="794" w:right="0" w:hanging="0"/>
        <w:jc w:val="both"/>
        <w:textAlignment w:val="baseline"/>
        <w:rPr>
          <w:rFonts w:ascii="Calibri" w:hAnsi="Calibri"/>
          <w:i w:val="false"/>
          <w:i w:val="false"/>
          <w:iCs w:val="false"/>
          <w:color w:val="000000"/>
        </w:rPr>
      </w:pPr>
      <w:r>
        <w:rPr>
          <w:rFonts w:cs="Arial" w:ascii="Calibri" w:hAnsi="Calibri"/>
          <w:i w:val="false"/>
          <w:iCs w:val="false"/>
          <w:color w:val="000000"/>
          <w:sz w:val="24"/>
        </w:rPr>
        <w:t>1.3. O critério de julgamento adotado será o menor preço observadas as exigências contidas neste Aviso de Contratação Direta e seus Anexos quanto às especificações do objeto.</w:t>
      </w:r>
    </w:p>
    <w:p>
      <w:pPr>
        <w:pStyle w:val="Ttulo1"/>
        <w:numPr>
          <w:ilvl w:val="0"/>
          <w:numId w:val="0"/>
        </w:numPr>
        <w:spacing w:lineRule="auto" w:line="276" w:before="113" w:after="113"/>
        <w:ind w:left="360" w:hanging="0"/>
        <w:rPr>
          <w:rFonts w:ascii="Calibri" w:hAnsi="Calibri"/>
          <w:b/>
          <w:b/>
          <w:bCs/>
          <w:i w:val="false"/>
          <w:i w:val="false"/>
          <w:iCs w:val="false"/>
        </w:rPr>
      </w:pPr>
      <w:r>
        <w:rPr>
          <w:rFonts w:cs="Arial" w:ascii="Calibri" w:hAnsi="Calibri"/>
          <w:b/>
          <w:bCs/>
          <w:i w:val="false"/>
          <w:iCs w:val="false"/>
          <w:color w:val="auto"/>
          <w:sz w:val="24"/>
          <w:szCs w:val="24"/>
        </w:rPr>
        <w:t xml:space="preserve">2. </w:t>
      </w:r>
      <w:bookmarkStart w:id="2" w:name="_Toc104906819"/>
      <w:r>
        <w:rPr>
          <w:rFonts w:cs="Arial" w:ascii="Calibri" w:hAnsi="Calibri"/>
          <w:b/>
          <w:bCs/>
          <w:i w:val="false"/>
          <w:iCs w:val="false"/>
          <w:color w:val="auto"/>
          <w:sz w:val="24"/>
          <w:szCs w:val="24"/>
        </w:rPr>
        <w:t>PARTICIPAÇÃO NA DISPENSA ELETRÔNICA.</w:t>
      </w:r>
      <w:bookmarkEnd w:id="2"/>
    </w:p>
    <w:p>
      <w:pPr>
        <w:pStyle w:val="Normal"/>
        <w:widowControl/>
        <w:numPr>
          <w:ilvl w:val="0"/>
          <w:numId w:val="0"/>
        </w:numPr>
        <w:suppressAutoHyphens w:val="true"/>
        <w:bidi w:val="0"/>
        <w:snapToGrid w:val="false"/>
        <w:spacing w:lineRule="auto" w:line="276" w:before="113" w:after="113"/>
        <w:ind w:left="850" w:right="0" w:hanging="0"/>
        <w:jc w:val="both"/>
        <w:rPr>
          <w:rFonts w:ascii="Calibri" w:hAnsi="Calibri"/>
          <w:i w:val="false"/>
          <w:i w:val="false"/>
          <w:iCs w:val="false"/>
        </w:rPr>
      </w:pPr>
      <w:r>
        <w:rPr>
          <w:rFonts w:cs="Arial" w:ascii="Calibri" w:hAnsi="Calibri"/>
          <w:i w:val="false"/>
          <w:iCs w:val="false"/>
          <w:sz w:val="24"/>
        </w:rPr>
        <w:t xml:space="preserve">2.1. A participação na presente dispensa eletrônica se dará mediante </w:t>
      </w:r>
      <w:r>
        <w:rPr>
          <w:rFonts w:cs="Arial" w:ascii="Calibri" w:hAnsi="Calibri"/>
          <w:bCs/>
          <w:i w:val="false"/>
          <w:iCs w:val="false"/>
          <w:sz w:val="24"/>
        </w:rPr>
        <w:t>Sistema de Dispensa Eletrônica</w:t>
      </w:r>
      <w:r>
        <w:rPr>
          <w:rFonts w:cs="Arial" w:ascii="Calibri" w:hAnsi="Calibri"/>
          <w:i w:val="false"/>
          <w:iCs w:val="false"/>
          <w:sz w:val="24"/>
        </w:rPr>
        <w:t xml:space="preserve"> integrante do Sistema de Compras do Governo Federal – Comprasnet 4.0, disponível no </w:t>
      </w:r>
      <w:r>
        <w:rPr>
          <w:rFonts w:cs="Arial" w:ascii="Calibri" w:hAnsi="Calibri"/>
          <w:bCs/>
          <w:i w:val="false"/>
          <w:iCs w:val="false"/>
          <w:sz w:val="24"/>
        </w:rPr>
        <w:t xml:space="preserve">endereço eletrônico </w:t>
      </w:r>
      <w:hyperlink r:id="rId4">
        <w:r>
          <w:rPr>
            <w:rStyle w:val="LinkdaInternet"/>
            <w:rFonts w:cs="Arial" w:ascii="Calibri" w:hAnsi="Calibri"/>
            <w:bCs/>
            <w:i w:val="false"/>
            <w:iCs w:val="false"/>
            <w:sz w:val="24"/>
          </w:rPr>
          <w:t>https://www.gov.br/compras/pt-br</w:t>
        </w:r>
      </w:hyperlink>
    </w:p>
    <w:p>
      <w:pPr>
        <w:pStyle w:val="Normal"/>
        <w:widowControl/>
        <w:numPr>
          <w:ilvl w:val="0"/>
          <w:numId w:val="0"/>
        </w:numPr>
        <w:bidi w:val="0"/>
        <w:snapToGrid w:val="false"/>
        <w:spacing w:lineRule="auto" w:line="276" w:before="113" w:after="113"/>
        <w:ind w:left="1585" w:right="0" w:hanging="0"/>
        <w:jc w:val="both"/>
        <w:rPr>
          <w:rFonts w:ascii="Calibri" w:hAnsi="Calibri"/>
          <w:i w:val="false"/>
          <w:i w:val="false"/>
          <w:iCs w:val="false"/>
        </w:rPr>
      </w:pPr>
      <w:r>
        <w:rPr>
          <w:rFonts w:cs="Arial" w:ascii="Calibri" w:hAnsi="Calibri"/>
          <w:bCs/>
          <w:i w:val="false"/>
          <w:iCs w:val="false"/>
          <w:sz w:val="24"/>
        </w:rPr>
        <w:t>2.1.1.</w:t>
      </w:r>
      <w:r>
        <w:rPr>
          <w:rFonts w:cs="Arial" w:ascii="Calibri" w:hAnsi="Calibri"/>
          <w:i w:val="false"/>
          <w:iCs w:val="false"/>
          <w:sz w:val="24"/>
        </w:rPr>
        <w:t>Os fornecedores deverão atender aos procedimentos previstos no Manual do Sistema de Dispensa Eletrônica, disponível no Portal de Compras do Governo Federal, para acesso ao sistema e operacionalização.</w:t>
      </w:r>
    </w:p>
    <w:p>
      <w:pPr>
        <w:pStyle w:val="Normal"/>
        <w:widowControl/>
        <w:numPr>
          <w:ilvl w:val="0"/>
          <w:numId w:val="0"/>
        </w:numPr>
        <w:suppressAutoHyphens w:val="true"/>
        <w:bidi w:val="0"/>
        <w:snapToGrid w:val="false"/>
        <w:spacing w:lineRule="auto" w:line="276" w:before="113" w:after="113"/>
        <w:ind w:left="1531" w:right="0" w:hanging="0"/>
        <w:jc w:val="both"/>
        <w:rPr>
          <w:rFonts w:ascii="Calibri" w:hAnsi="Calibri"/>
          <w:i w:val="false"/>
          <w:i w:val="false"/>
          <w:iCs w:val="false"/>
        </w:rPr>
      </w:pPr>
      <w:r>
        <w:rPr>
          <w:rFonts w:cs="Arial" w:ascii="Calibri" w:hAnsi="Calibri"/>
          <w:i w:val="false"/>
          <w:iCs w:val="false"/>
          <w:sz w:val="24"/>
        </w:rPr>
        <w:t>2.1.2. 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pPr>
        <w:pStyle w:val="Normal"/>
        <w:widowControl/>
        <w:numPr>
          <w:ilvl w:val="0"/>
          <w:numId w:val="0"/>
        </w:numPr>
        <w:suppressAutoHyphens w:val="true"/>
        <w:bidi w:val="0"/>
        <w:spacing w:lineRule="auto" w:line="276" w:before="113" w:after="113"/>
        <w:ind w:left="794" w:right="0" w:hanging="0"/>
        <w:jc w:val="both"/>
        <w:rPr>
          <w:rFonts w:ascii="Calibri" w:hAnsi="Calibri"/>
          <w:i w:val="false"/>
          <w:i w:val="false"/>
          <w:iCs w:val="false"/>
        </w:rPr>
      </w:pPr>
      <w:r>
        <w:rPr>
          <w:rFonts w:cs="Arial" w:ascii="Calibri" w:hAnsi="Calibri"/>
          <w:i w:val="false"/>
          <w:iCs w:val="false"/>
          <w:color w:val="000000" w:themeColor="text1"/>
          <w:sz w:val="24"/>
        </w:rPr>
        <w:t>2.2. Não poderão participar desta dispensa os fornecedores:</w:t>
      </w:r>
    </w:p>
    <w:p>
      <w:pPr>
        <w:pStyle w:val="Normal"/>
        <w:widowControl/>
        <w:numPr>
          <w:ilvl w:val="0"/>
          <w:numId w:val="0"/>
        </w:numPr>
        <w:suppressAutoHyphens w:val="true"/>
        <w:bidi w:val="0"/>
        <w:spacing w:lineRule="auto" w:line="276" w:before="113" w:after="113"/>
        <w:ind w:left="1531" w:right="0" w:hanging="0"/>
        <w:jc w:val="both"/>
        <w:rPr>
          <w:rFonts w:ascii="Calibri" w:hAnsi="Calibri"/>
          <w:i w:val="false"/>
          <w:i w:val="false"/>
          <w:iCs w:val="false"/>
        </w:rPr>
      </w:pPr>
      <w:r>
        <w:rPr>
          <w:rFonts w:cs="Arial" w:ascii="Calibri" w:hAnsi="Calibri"/>
          <w:i w:val="false"/>
          <w:iCs w:val="false"/>
          <w:color w:val="000000" w:themeColor="text1"/>
          <w:sz w:val="24"/>
        </w:rPr>
        <w:t>2.2.1. que não atendam às condições deste Aviso de Contratação Direta e seu(s) anexo(s);</w:t>
      </w:r>
    </w:p>
    <w:p>
      <w:pPr>
        <w:pStyle w:val="Normal"/>
        <w:widowControl/>
        <w:numPr>
          <w:ilvl w:val="0"/>
          <w:numId w:val="0"/>
        </w:numPr>
        <w:suppressAutoHyphens w:val="true"/>
        <w:bidi w:val="0"/>
        <w:spacing w:lineRule="auto" w:line="276" w:before="113" w:after="113"/>
        <w:ind w:left="1531" w:right="0" w:hanging="0"/>
        <w:jc w:val="both"/>
        <w:rPr>
          <w:rFonts w:ascii="Calibri" w:hAnsi="Calibri"/>
          <w:i w:val="false"/>
          <w:i w:val="false"/>
          <w:iCs w:val="false"/>
        </w:rPr>
      </w:pPr>
      <w:r>
        <w:rPr>
          <w:rFonts w:cs="Arial" w:ascii="Calibri" w:hAnsi="Calibri"/>
          <w:i w:val="false"/>
          <w:iCs w:val="false"/>
          <w:color w:val="000000" w:themeColor="text1"/>
          <w:sz w:val="24"/>
        </w:rPr>
        <w:t>2.2.2. estrangeiros que não tenham representação legal no Brasil com poderes expressos para receber citação e responder administrativa ou judicialmente;</w:t>
      </w:r>
    </w:p>
    <w:p>
      <w:pPr>
        <w:pStyle w:val="Normal"/>
        <w:widowControl/>
        <w:numPr>
          <w:ilvl w:val="0"/>
          <w:numId w:val="0"/>
        </w:numPr>
        <w:suppressAutoHyphens w:val="true"/>
        <w:bidi w:val="0"/>
        <w:spacing w:lineRule="auto" w:line="276" w:before="113" w:after="113"/>
        <w:ind w:left="1531" w:right="0" w:hanging="0"/>
        <w:jc w:val="both"/>
        <w:rPr>
          <w:rFonts w:ascii="Calibri" w:hAnsi="Calibri"/>
          <w:i w:val="false"/>
          <w:i w:val="false"/>
          <w:iCs w:val="false"/>
        </w:rPr>
      </w:pPr>
      <w:r>
        <w:rPr>
          <w:rFonts w:cs="Arial" w:ascii="Calibri" w:hAnsi="Calibri"/>
          <w:i w:val="false"/>
          <w:iCs w:val="false"/>
          <w:color w:val="000000" w:themeColor="text1"/>
          <w:sz w:val="24"/>
        </w:rPr>
        <w:t>2.2.3. que se enquadrem nas seguintes vedações:</w:t>
      </w:r>
    </w:p>
    <w:p>
      <w:pPr>
        <w:pStyle w:val="Normal"/>
        <w:numPr>
          <w:ilvl w:val="3"/>
          <w:numId w:val="3"/>
        </w:numPr>
        <w:spacing w:lineRule="auto" w:line="276" w:before="113" w:after="113"/>
        <w:jc w:val="both"/>
        <w:rPr>
          <w:rFonts w:ascii="Calibri" w:hAnsi="Calibri"/>
          <w:i w:val="false"/>
          <w:i w:val="false"/>
          <w:iCs w:val="false"/>
        </w:rPr>
      </w:pPr>
      <w:r>
        <w:rPr>
          <w:rFonts w:cs="Arial" w:ascii="Calibri" w:hAnsi="Calibri"/>
          <w:i w:val="false"/>
          <w:iCs w:val="false"/>
          <w:color w:val="000000"/>
          <w:sz w:val="24"/>
        </w:rPr>
        <w:t>autor do anteprojeto, do projeto básico ou do projeto executivo, pessoa física ou jurídica, quando a contratação versar sobre obra, serviços ou fornecimento de bens a ele relacionados;</w:t>
      </w:r>
    </w:p>
    <w:p>
      <w:pPr>
        <w:pStyle w:val="Normal"/>
        <w:numPr>
          <w:ilvl w:val="3"/>
          <w:numId w:val="3"/>
        </w:numPr>
        <w:spacing w:lineRule="auto" w:line="276" w:before="113" w:after="113"/>
        <w:jc w:val="both"/>
        <w:rPr>
          <w:rFonts w:ascii="Calibri" w:hAnsi="Calibri"/>
          <w:i w:val="false"/>
          <w:i w:val="false"/>
          <w:iCs w:val="false"/>
        </w:rPr>
      </w:pPr>
      <w:r>
        <w:rPr>
          <w:rFonts w:cs="Arial" w:ascii="Calibri" w:hAnsi="Calibri"/>
          <w:i w:val="false"/>
          <w:iCs w:val="false"/>
          <w:color w:val="000000"/>
          <w:sz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pPr>
        <w:pStyle w:val="Normal"/>
        <w:numPr>
          <w:ilvl w:val="3"/>
          <w:numId w:val="3"/>
        </w:numPr>
        <w:spacing w:lineRule="auto" w:line="276" w:before="113" w:after="113"/>
        <w:jc w:val="both"/>
        <w:rPr>
          <w:rFonts w:ascii="Calibri" w:hAnsi="Calibri"/>
          <w:i w:val="false"/>
          <w:i w:val="false"/>
          <w:iCs w:val="false"/>
        </w:rPr>
      </w:pPr>
      <w:r>
        <w:rPr>
          <w:rFonts w:cs="Arial" w:ascii="Calibri" w:hAnsi="Calibri"/>
          <w:i w:val="false"/>
          <w:iCs w:val="false"/>
          <w:color w:val="000000"/>
          <w:sz w:val="24"/>
        </w:rPr>
        <w:t>pessoa física ou jurídica que se encontre, ao tempo da contratação, impossibilitada de contratar em decorrência de sanção que lhe foi imposta;</w:t>
      </w:r>
    </w:p>
    <w:p>
      <w:pPr>
        <w:pStyle w:val="Normal"/>
        <w:numPr>
          <w:ilvl w:val="3"/>
          <w:numId w:val="3"/>
        </w:numPr>
        <w:spacing w:lineRule="auto" w:line="276" w:before="113" w:after="113"/>
        <w:jc w:val="both"/>
        <w:rPr>
          <w:rFonts w:ascii="Calibri" w:hAnsi="Calibri"/>
          <w:i w:val="false"/>
          <w:i w:val="false"/>
          <w:iCs w:val="false"/>
        </w:rPr>
      </w:pPr>
      <w:r>
        <w:rPr>
          <w:rFonts w:cs="Arial" w:ascii="Calibri" w:hAnsi="Calibri"/>
          <w:i w:val="false"/>
          <w:iCs w:val="false"/>
          <w:color w:val="000000"/>
          <w:sz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ormal"/>
        <w:numPr>
          <w:ilvl w:val="3"/>
          <w:numId w:val="3"/>
        </w:numPr>
        <w:spacing w:lineRule="auto" w:line="276" w:before="113" w:after="113"/>
        <w:jc w:val="both"/>
        <w:rPr/>
      </w:pPr>
      <w:r>
        <w:rPr>
          <w:rFonts w:cs="Arial" w:ascii="Calibri" w:hAnsi="Calibri"/>
          <w:i w:val="false"/>
          <w:iCs w:val="false"/>
          <w:color w:val="000000"/>
          <w:sz w:val="24"/>
        </w:rPr>
        <w:t>empresas controladoras, controladas ou coligadas, nos termos da </w:t>
      </w:r>
      <w:hyperlink r:id="rId5">
        <w:r>
          <w:rPr>
            <w:rStyle w:val="LinkdaInternet"/>
            <w:rFonts w:eastAsia="Calibri" w:cs="Arial" w:ascii="Calibri" w:hAnsi="Calibri"/>
            <w:i w:val="false"/>
            <w:iCs w:val="false"/>
            <w:sz w:val="24"/>
          </w:rPr>
          <w:t>Lei nº 6.404, de 15 de dezembro de 1976</w:t>
        </w:r>
      </w:hyperlink>
      <w:r>
        <w:rPr>
          <w:rFonts w:cs="Arial" w:ascii="Calibri" w:hAnsi="Calibri"/>
          <w:i w:val="false"/>
          <w:iCs w:val="false"/>
          <w:color w:val="000000"/>
          <w:sz w:val="24"/>
        </w:rPr>
        <w:t>, concorrendo entre si;</w:t>
      </w:r>
    </w:p>
    <w:p>
      <w:pPr>
        <w:pStyle w:val="Normal"/>
        <w:numPr>
          <w:ilvl w:val="3"/>
          <w:numId w:val="3"/>
        </w:numPr>
        <w:spacing w:lineRule="auto" w:line="276" w:before="113" w:after="113"/>
        <w:jc w:val="both"/>
        <w:rPr>
          <w:rFonts w:ascii="Calibri" w:hAnsi="Calibri"/>
          <w:i w:val="false"/>
          <w:i w:val="false"/>
          <w:iCs w:val="false"/>
        </w:rPr>
      </w:pPr>
      <w:r>
        <w:rPr>
          <w:rFonts w:cs="Arial" w:ascii="Calibri" w:hAnsi="Calibri"/>
          <w:i w:val="false"/>
          <w:iCs w:val="false"/>
          <w:color w:val="000000"/>
          <w:sz w:val="24"/>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Normal"/>
        <w:numPr>
          <w:ilvl w:val="0"/>
          <w:numId w:val="0"/>
        </w:numPr>
        <w:spacing w:lineRule="auto" w:line="276" w:before="113" w:after="113"/>
        <w:ind w:left="1728" w:hanging="0"/>
        <w:jc w:val="both"/>
        <w:rPr>
          <w:rFonts w:ascii="Calibri" w:hAnsi="Calibri"/>
          <w:i w:val="false"/>
          <w:i w:val="false"/>
          <w:iCs w:val="false"/>
        </w:rPr>
      </w:pPr>
      <w:r>
        <w:rPr>
          <w:rFonts w:cs="Arial" w:ascii="Calibri" w:hAnsi="Calibri"/>
          <w:i w:val="false"/>
          <w:iCs w:val="false"/>
          <w:color w:val="000000"/>
          <w:sz w:val="24"/>
        </w:rPr>
        <w:t>2.2.3.1. Equiparam-se aos autores do projeto as empresas integrantes do mesmo grupo econômico;</w:t>
      </w:r>
    </w:p>
    <w:p>
      <w:pPr>
        <w:pStyle w:val="Normal"/>
        <w:numPr>
          <w:ilvl w:val="0"/>
          <w:numId w:val="0"/>
        </w:numPr>
        <w:spacing w:lineRule="auto" w:line="276" w:before="113" w:after="113"/>
        <w:ind w:left="1728" w:hanging="0"/>
        <w:jc w:val="both"/>
        <w:rPr>
          <w:rFonts w:ascii="Calibri" w:hAnsi="Calibri"/>
          <w:i w:val="false"/>
          <w:i w:val="false"/>
          <w:iCs w:val="false"/>
        </w:rPr>
      </w:pPr>
      <w:r>
        <w:rPr>
          <w:rFonts w:cs="Arial" w:ascii="Calibri" w:hAnsi="Calibri"/>
          <w:i w:val="false"/>
          <w:iCs w:val="false"/>
          <w:color w:val="000000"/>
          <w:sz w:val="24"/>
        </w:rPr>
        <w:t>2.2.3.2. plica-se o disposto na alínea “c”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i w:val="false"/>
          <w:iCs w:val="false"/>
          <w:color w:val="000000"/>
          <w:sz w:val="24"/>
        </w:rPr>
        <w:t>2.2.4. organizações da Sociedade Civil de Interesse Público - OSCIP, atuando nessa condição (Acórdão nº 746/2014-TCU-Plenário); e</w:t>
      </w:r>
    </w:p>
    <w:p>
      <w:pPr>
        <w:pStyle w:val="Normal"/>
        <w:widowControl/>
        <w:numPr>
          <w:ilvl w:val="0"/>
          <w:numId w:val="0"/>
        </w:numPr>
        <w:suppressAutoHyphens w:val="true"/>
        <w:bidi w:val="0"/>
        <w:spacing w:lineRule="auto" w:line="276" w:before="113" w:after="227"/>
        <w:ind w:left="1247" w:right="0" w:hanging="0"/>
        <w:jc w:val="both"/>
        <w:rPr>
          <w:rFonts w:ascii="Calibri" w:hAnsi="Calibri"/>
          <w:i w:val="false"/>
          <w:i w:val="false"/>
          <w:iCs w:val="false"/>
          <w:color w:val="000000"/>
        </w:rPr>
      </w:pPr>
      <w:r>
        <w:rPr>
          <w:rFonts w:cs="Arial" w:ascii="Calibri" w:hAnsi="Calibri"/>
          <w:i w:val="false"/>
          <w:iCs w:val="false"/>
          <w:color w:val="000000"/>
          <w:sz w:val="24"/>
        </w:rPr>
        <w:t>2.2.5. sociedades cooperativas.</w:t>
      </w:r>
      <w:bookmarkStart w:id="3" w:name="_Hlk519667815"/>
      <w:bookmarkEnd w:id="3"/>
    </w:p>
    <w:p>
      <w:pPr>
        <w:pStyle w:val="Ttulo1"/>
        <w:numPr>
          <w:ilvl w:val="0"/>
          <w:numId w:val="0"/>
        </w:numPr>
        <w:spacing w:lineRule="auto" w:line="276" w:before="113" w:after="113"/>
        <w:ind w:left="360" w:hanging="0"/>
        <w:rPr>
          <w:rFonts w:ascii="Calibri" w:hAnsi="Calibri"/>
          <w:b/>
          <w:b/>
          <w:bCs/>
          <w:i w:val="false"/>
          <w:i w:val="false"/>
          <w:iCs w:val="false"/>
        </w:rPr>
      </w:pPr>
      <w:r>
        <w:rPr>
          <w:rFonts w:cs="Arial" w:ascii="Calibri" w:hAnsi="Calibri"/>
          <w:b/>
          <w:bCs/>
          <w:i w:val="false"/>
          <w:iCs w:val="false"/>
          <w:color w:val="auto"/>
          <w:sz w:val="24"/>
          <w:szCs w:val="24"/>
        </w:rPr>
        <w:t xml:space="preserve">3. </w:t>
      </w:r>
      <w:bookmarkStart w:id="4" w:name="_Toc104906820"/>
      <w:r>
        <w:rPr>
          <w:rFonts w:cs="Arial" w:ascii="Calibri" w:hAnsi="Calibri"/>
          <w:b/>
          <w:bCs/>
          <w:i w:val="false"/>
          <w:iCs w:val="false"/>
          <w:color w:val="auto"/>
          <w:sz w:val="24"/>
          <w:szCs w:val="24"/>
        </w:rPr>
        <w:t>INGRESSO NA DISPENSA ELETRÔNICA E CADASTRAMENTO DA PROPOSTA INICIAL</w:t>
      </w:r>
      <w:bookmarkEnd w:id="4"/>
    </w:p>
    <w:p>
      <w:pPr>
        <w:pStyle w:val="Normal"/>
        <w:widowControl/>
        <w:numPr>
          <w:ilvl w:val="0"/>
          <w:numId w:val="0"/>
        </w:numPr>
        <w:suppressAutoHyphens w:val="true"/>
        <w:bidi w:val="0"/>
        <w:snapToGrid w:val="false"/>
        <w:spacing w:lineRule="auto" w:line="276" w:before="113" w:after="113"/>
        <w:ind w:left="794" w:right="0" w:hanging="0"/>
        <w:jc w:val="both"/>
        <w:rPr>
          <w:rFonts w:ascii="Calibri" w:hAnsi="Calibri"/>
          <w:i w:val="false"/>
          <w:i w:val="false"/>
          <w:iCs w:val="false"/>
        </w:rPr>
      </w:pPr>
      <w:r>
        <w:rPr>
          <w:rFonts w:cs="Arial" w:ascii="Calibri" w:hAnsi="Calibri"/>
          <w:i w:val="false"/>
          <w:iCs w:val="false"/>
          <w:color w:val="000000" w:themeColor="text1"/>
          <w:sz w:val="24"/>
        </w:rPr>
        <w:t>3.1. O ingresso do fornecedor na disputa da dispensa eletrônica se dará com o cadastramento de sua proposta inicial, na forma deste item.</w:t>
      </w:r>
    </w:p>
    <w:p>
      <w:pPr>
        <w:pStyle w:val="Normal"/>
        <w:widowControl/>
        <w:numPr>
          <w:ilvl w:val="0"/>
          <w:numId w:val="0"/>
        </w:numPr>
        <w:suppressAutoHyphens w:val="true"/>
        <w:bidi w:val="0"/>
        <w:snapToGrid w:val="false"/>
        <w:spacing w:lineRule="auto" w:line="276" w:before="113" w:after="113"/>
        <w:ind w:left="794" w:right="0" w:hanging="0"/>
        <w:jc w:val="both"/>
        <w:rPr>
          <w:rFonts w:ascii="Calibri" w:hAnsi="Calibri"/>
          <w:i w:val="false"/>
          <w:i w:val="false"/>
          <w:iCs w:val="false"/>
        </w:rPr>
      </w:pPr>
      <w:r>
        <w:rPr>
          <w:rFonts w:cs="Arial" w:ascii="Calibri" w:hAnsi="Calibri"/>
          <w:i w:val="false"/>
          <w:iCs w:val="false"/>
          <w:color w:val="000000" w:themeColor="text1"/>
          <w:sz w:val="24"/>
        </w:rPr>
        <w:t>3.2. O fornecedor interessado, após a divulgação do aviso de contratação direta, encaminhará, exclusivamente por meio do Sistema de Dispensa Eletrônica, a proposta com a descrição do objeto ofertado, a marca do produto, quando for o caso, e o preço, até a data e o horário estabelecidos para abertura do procedimento.</w:t>
      </w:r>
    </w:p>
    <w:p>
      <w:pPr>
        <w:pStyle w:val="Normal"/>
        <w:widowControl/>
        <w:numPr>
          <w:ilvl w:val="0"/>
          <w:numId w:val="0"/>
        </w:numPr>
        <w:suppressAutoHyphens w:val="true"/>
        <w:bidi w:val="0"/>
        <w:spacing w:lineRule="auto" w:line="276" w:before="113" w:after="113"/>
        <w:ind w:left="1247" w:right="0" w:hanging="0"/>
        <w:jc w:val="both"/>
        <w:rPr>
          <w:rFonts w:ascii="Calibri" w:hAnsi="Calibri"/>
          <w:i w:val="false"/>
          <w:i w:val="false"/>
          <w:iCs w:val="false"/>
        </w:rPr>
      </w:pPr>
      <w:r>
        <w:rPr>
          <w:rFonts w:cs="Arial" w:ascii="Calibri" w:hAnsi="Calibri"/>
          <w:i w:val="false"/>
          <w:iCs w:val="false"/>
          <w:sz w:val="24"/>
        </w:rPr>
        <w:t>3.2.1. A proposta também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pPr>
        <w:pStyle w:val="Normal"/>
        <w:widowControl/>
        <w:numPr>
          <w:ilvl w:val="0"/>
          <w:numId w:val="0"/>
        </w:numPr>
        <w:suppressAutoHyphens w:val="true"/>
        <w:bidi w:val="0"/>
        <w:spacing w:lineRule="auto" w:line="276" w:before="113" w:after="113"/>
        <w:ind w:left="794" w:right="0" w:hanging="0"/>
        <w:jc w:val="both"/>
        <w:rPr>
          <w:rFonts w:ascii="Calibri" w:hAnsi="Calibri"/>
          <w:i w:val="false"/>
          <w:i w:val="false"/>
          <w:iCs w:val="false"/>
        </w:rPr>
      </w:pPr>
      <w:r>
        <w:rPr>
          <w:rFonts w:cs="Arial" w:ascii="Calibri" w:hAnsi="Calibri"/>
          <w:i w:val="false"/>
          <w:iCs w:val="false"/>
          <w:sz w:val="24"/>
        </w:rPr>
        <w:t xml:space="preserve">3.3. Todas as especificações do </w:t>
      </w:r>
      <w:r>
        <w:rPr>
          <w:rFonts w:cs="Arial" w:ascii="Calibri" w:hAnsi="Calibri"/>
          <w:i w:val="false"/>
          <w:iCs w:val="false"/>
          <w:color w:val="000000" w:themeColor="text1"/>
          <w:sz w:val="24"/>
        </w:rPr>
        <w:t>objeto</w:t>
      </w:r>
      <w:r>
        <w:rPr>
          <w:rFonts w:cs="Arial" w:ascii="Calibri" w:hAnsi="Calibri"/>
          <w:i w:val="false"/>
          <w:iCs w:val="false"/>
          <w:sz w:val="24"/>
        </w:rPr>
        <w:t xml:space="preserve"> contidas na proposta, em especial o preço, vinculam a Contratada.</w:t>
      </w:r>
    </w:p>
    <w:p>
      <w:pPr>
        <w:pStyle w:val="Normal"/>
        <w:widowControl/>
        <w:numPr>
          <w:ilvl w:val="0"/>
          <w:numId w:val="0"/>
        </w:numPr>
        <w:suppressAutoHyphens w:val="true"/>
        <w:bidi w:val="0"/>
        <w:spacing w:lineRule="auto" w:line="276" w:before="113" w:after="113"/>
        <w:ind w:left="794" w:right="0" w:hanging="0"/>
        <w:jc w:val="both"/>
        <w:rPr>
          <w:rFonts w:ascii="Calibri" w:hAnsi="Calibri"/>
          <w:i w:val="false"/>
          <w:i w:val="false"/>
          <w:iCs w:val="false"/>
        </w:rPr>
      </w:pPr>
      <w:r>
        <w:rPr>
          <w:rFonts w:cs="Arial" w:ascii="Calibri" w:hAnsi="Calibri"/>
          <w:i w:val="false"/>
          <w:iCs w:val="false"/>
          <w:sz w:val="24"/>
        </w:rPr>
        <w:t>3.4. Nos valores propostos estarão inclusos todos os custos operacionais, encargos previdenciários, trabalhistas, tributários, comerciais e quaisquer outros que incidam direta ou indiretamente na prestação dos serviços;</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i w:val="false"/>
          <w:iCs w:val="false"/>
          <w:sz w:val="24"/>
        </w:rPr>
        <w:t>3.4.1. Os preços ofertados, tanto na proposta inicial, quanto na etapa de lances, serão de exclusiva responsabilidade do fornecedor, não lhe assistindo o direito de pleitear qualquer alteração, sob alegação de erro, omissão ou qualquer outro pretexto.</w:t>
      </w:r>
    </w:p>
    <w:p>
      <w:pPr>
        <w:pStyle w:val="Normal"/>
        <w:widowControl/>
        <w:numPr>
          <w:ilvl w:val="0"/>
          <w:numId w:val="0"/>
        </w:numPr>
        <w:suppressAutoHyphens w:val="true"/>
        <w:bidi w:val="0"/>
        <w:spacing w:lineRule="auto" w:line="276" w:before="113" w:after="113"/>
        <w:ind w:left="794" w:right="0" w:hanging="0"/>
        <w:jc w:val="both"/>
        <w:rPr>
          <w:rFonts w:ascii="Calibri" w:hAnsi="Calibri"/>
          <w:i w:val="false"/>
          <w:i w:val="false"/>
          <w:iCs w:val="false"/>
        </w:rPr>
      </w:pPr>
      <w:r>
        <w:rPr>
          <w:rFonts w:cs="Arial" w:ascii="Calibri" w:hAnsi="Calibri"/>
          <w:i w:val="false"/>
          <w:iCs w:val="false"/>
          <w:sz w:val="24"/>
        </w:rPr>
        <w:t xml:space="preserve">3.5. Se o regime tributário da empresa implicar o recolhimento de tributos em percentuais variáveis, a cotação adequada será a que corresponde à média dos efetivos recolhimentos da empresa nos últimos doze meses. </w:t>
      </w:r>
    </w:p>
    <w:p>
      <w:pPr>
        <w:pStyle w:val="Normal"/>
        <w:widowControl/>
        <w:numPr>
          <w:ilvl w:val="0"/>
          <w:numId w:val="0"/>
        </w:numPr>
        <w:suppressAutoHyphens w:val="true"/>
        <w:bidi w:val="0"/>
        <w:spacing w:lineRule="auto" w:line="276" w:before="113" w:after="113"/>
        <w:ind w:left="794" w:right="0" w:hanging="0"/>
        <w:jc w:val="both"/>
        <w:rPr>
          <w:rFonts w:ascii="Calibri" w:hAnsi="Calibri"/>
          <w:i w:val="false"/>
          <w:i w:val="false"/>
          <w:iCs w:val="false"/>
        </w:rPr>
      </w:pPr>
      <w:r>
        <w:rPr>
          <w:rFonts w:cs="Arial" w:ascii="Calibri" w:hAnsi="Calibri"/>
          <w:i w:val="false"/>
          <w:iCs w:val="false"/>
          <w:sz w:val="24"/>
        </w:rPr>
        <w:t>3.6. Independentemente do percentual de tributo inserido na planilha, no pagamento serão retidos na fonte os percentuais estabelecidos na legislação vigente.</w:t>
      </w:r>
    </w:p>
    <w:p>
      <w:pPr>
        <w:pStyle w:val="Normal"/>
        <w:widowControl/>
        <w:numPr>
          <w:ilvl w:val="0"/>
          <w:numId w:val="0"/>
        </w:numPr>
        <w:suppressAutoHyphens w:val="true"/>
        <w:bidi w:val="0"/>
        <w:spacing w:lineRule="auto" w:line="276" w:before="113" w:after="113"/>
        <w:ind w:left="794" w:right="0" w:hanging="0"/>
        <w:jc w:val="both"/>
        <w:rPr>
          <w:rFonts w:ascii="Calibri" w:hAnsi="Calibri"/>
          <w:i w:val="false"/>
          <w:i w:val="false"/>
          <w:iCs w:val="false"/>
        </w:rPr>
      </w:pPr>
      <w:r>
        <w:rPr>
          <w:rFonts w:cs="Arial" w:ascii="Calibri" w:hAnsi="Calibri"/>
          <w:i w:val="false"/>
          <w:iCs w:val="false"/>
          <w:sz w:val="24"/>
        </w:rPr>
        <w:t>3.7. A apresentação das propostas implica obrigatoriedade do cumprimento das disposições nelas contidas, em conformidade com o que dispõe</w:t>
      </w:r>
      <w:r>
        <w:rPr>
          <w:rFonts w:cs="Arial" w:ascii="Calibri" w:hAnsi="Calibri"/>
          <w:i w:val="false"/>
          <w:iCs w:val="false"/>
          <w:color w:val="000000"/>
          <w:sz w:val="24"/>
        </w:rPr>
        <w:t xml:space="preserve"> o Termo de Referência,</w:t>
      </w:r>
      <w:r>
        <w:rPr>
          <w:rFonts w:cs="Arial" w:ascii="Calibri" w:hAnsi="Calibri"/>
          <w:i w:val="false"/>
          <w:iCs w:val="false"/>
          <w:sz w:val="24"/>
        </w:rPr>
        <w:t xml:space="preserve"> assumindo o proponente o compromisso de executar os serviços nos seus termos, bem como de fornecer os materiais, equipamentos, ferramentas e utensílios necessários, em quantidades e qualidades adequadas à perfeita execução contratual, promovendo, quando requerido, sua substituição.</w:t>
      </w:r>
    </w:p>
    <w:p>
      <w:pPr>
        <w:pStyle w:val="Normal"/>
        <w:widowControl/>
        <w:numPr>
          <w:ilvl w:val="0"/>
          <w:numId w:val="0"/>
        </w:numPr>
        <w:suppressAutoHyphens w:val="true"/>
        <w:bidi w:val="0"/>
        <w:spacing w:lineRule="auto" w:line="276" w:before="113" w:after="113"/>
        <w:ind w:left="737" w:right="0" w:hanging="0"/>
        <w:jc w:val="both"/>
        <w:rPr>
          <w:rFonts w:ascii="Calibri" w:hAnsi="Calibri"/>
          <w:i w:val="false"/>
          <w:i w:val="false"/>
          <w:iCs w:val="false"/>
        </w:rPr>
      </w:pPr>
      <w:r>
        <w:rPr>
          <w:rFonts w:cs="Arial" w:ascii="Calibri" w:hAnsi="Calibri"/>
          <w:i w:val="false"/>
          <w:iCs w:val="false"/>
          <w:sz w:val="24"/>
        </w:rPr>
        <w:t xml:space="preserve">3.8. Uma vez enviada a proposta no sistema, os fornecedores </w:t>
      </w:r>
      <w:r>
        <w:rPr>
          <w:rFonts w:cs="Arial" w:ascii="Calibri" w:hAnsi="Calibri"/>
          <w:b/>
          <w:bCs/>
          <w:i w:val="false"/>
          <w:iCs w:val="false"/>
          <w:sz w:val="24"/>
        </w:rPr>
        <w:t>NÃO</w:t>
      </w:r>
      <w:r>
        <w:rPr>
          <w:rFonts w:cs="Arial" w:ascii="Calibri" w:hAnsi="Calibri"/>
          <w:i w:val="false"/>
          <w:iCs w:val="false"/>
          <w:sz w:val="24"/>
        </w:rPr>
        <w:t xml:space="preserve"> poderão retirá-la, substituí-la ou modificá-la</w:t>
      </w:r>
      <w:r>
        <w:rPr>
          <w:rFonts w:cs="Arial" w:ascii="Calibri" w:hAnsi="Calibri"/>
          <w:i w:val="false"/>
          <w:iCs w:val="false"/>
          <w:color w:val="000000"/>
          <w:sz w:val="24"/>
        </w:rPr>
        <w:t>;</w:t>
      </w:r>
    </w:p>
    <w:p>
      <w:pPr>
        <w:pStyle w:val="Normal"/>
        <w:widowControl/>
        <w:numPr>
          <w:ilvl w:val="0"/>
          <w:numId w:val="0"/>
        </w:numPr>
        <w:suppressAutoHyphens w:val="true"/>
        <w:bidi w:val="0"/>
        <w:spacing w:lineRule="auto" w:line="276" w:before="113" w:after="113"/>
        <w:ind w:left="737" w:right="0" w:hanging="0"/>
        <w:jc w:val="both"/>
        <w:rPr>
          <w:rFonts w:ascii="Calibri" w:hAnsi="Calibri"/>
          <w:i w:val="false"/>
          <w:i w:val="false"/>
          <w:iCs w:val="false"/>
        </w:rPr>
      </w:pPr>
      <w:r>
        <w:rPr>
          <w:rFonts w:cs="Arial" w:ascii="Calibri" w:hAnsi="Calibri"/>
          <w:i w:val="false"/>
          <w:iCs w:val="false"/>
          <w:color w:val="000000"/>
          <w:sz w:val="24"/>
        </w:rPr>
        <w:t xml:space="preserve">3.9. No cadastramento da proposta inicial, o fornecedor deverá, também, assinalar “sim” ou “não” em campo </w:t>
      </w:r>
      <w:r>
        <w:rPr>
          <w:rFonts w:cs="Arial" w:ascii="Calibri" w:hAnsi="Calibri"/>
          <w:i w:val="false"/>
          <w:iCs w:val="false"/>
          <w:sz w:val="24"/>
        </w:rPr>
        <w:t>próprio</w:t>
      </w:r>
      <w:r>
        <w:rPr>
          <w:rFonts w:cs="Arial" w:ascii="Calibri" w:hAnsi="Calibri"/>
          <w:i w:val="false"/>
          <w:iCs w:val="false"/>
          <w:color w:val="000000"/>
          <w:sz w:val="24"/>
        </w:rPr>
        <w:t xml:space="preserve"> do sistema eletrônico, às seguintes declarações:</w:t>
      </w:r>
      <w:r>
        <w:rPr>
          <w:rFonts w:eastAsia="Zurich BT" w:cs="Arial" w:ascii="Calibri" w:hAnsi="Calibri"/>
          <w:i w:val="false"/>
          <w:iCs w:val="false"/>
          <w:color w:val="000000"/>
          <w:sz w:val="24"/>
        </w:rPr>
        <w:t xml:space="preserve"> </w:t>
      </w:r>
    </w:p>
    <w:p>
      <w:pPr>
        <w:pStyle w:val="ListParagraph"/>
        <w:numPr>
          <w:ilvl w:val="0"/>
          <w:numId w:val="1"/>
        </w:numPr>
        <w:tabs>
          <w:tab w:val="clear" w:pos="708"/>
          <w:tab w:val="left" w:pos="1440" w:leader="none"/>
        </w:tabs>
        <w:snapToGrid w:val="false"/>
        <w:spacing w:lineRule="auto" w:line="276" w:before="113" w:after="113"/>
        <w:contextualSpacing/>
        <w:jc w:val="both"/>
        <w:rPr>
          <w:rFonts w:ascii="Calibri" w:hAnsi="Calibri" w:cs="Arial"/>
          <w:bCs/>
          <w:i w:val="false"/>
          <w:i w:val="false"/>
          <w:iCs w:val="false"/>
          <w:vanish/>
          <w:color w:val="000000"/>
          <w:sz w:val="24"/>
        </w:rPr>
      </w:pPr>
      <w:r>
        <w:rPr>
          <w:rFonts w:cs="Arial" w:ascii="Calibri" w:hAnsi="Calibri"/>
          <w:bCs/>
          <w:i w:val="false"/>
          <w:iCs w:val="false"/>
          <w:vanish/>
          <w:color w:val="000000"/>
          <w:sz w:val="24"/>
        </w:rPr>
      </w:r>
    </w:p>
    <w:p>
      <w:pPr>
        <w:pStyle w:val="ListParagraph"/>
        <w:numPr>
          <w:ilvl w:val="1"/>
          <w:numId w:val="1"/>
        </w:numPr>
        <w:tabs>
          <w:tab w:val="clear" w:pos="708"/>
          <w:tab w:val="left" w:pos="1440" w:leader="none"/>
        </w:tabs>
        <w:snapToGrid w:val="false"/>
        <w:spacing w:lineRule="auto" w:line="276" w:before="113" w:after="113"/>
        <w:contextualSpacing/>
        <w:jc w:val="both"/>
        <w:rPr>
          <w:rFonts w:ascii="Calibri" w:hAnsi="Calibri" w:cs="Arial"/>
          <w:bCs/>
          <w:i w:val="false"/>
          <w:i w:val="false"/>
          <w:iCs w:val="false"/>
          <w:vanish/>
          <w:color w:val="000000"/>
          <w:sz w:val="24"/>
        </w:rPr>
      </w:pPr>
      <w:r>
        <w:rPr>
          <w:rFonts w:cs="Arial" w:ascii="Calibri" w:hAnsi="Calibri"/>
          <w:bCs/>
          <w:i w:val="false"/>
          <w:iCs w:val="false"/>
          <w:vanish/>
          <w:color w:val="000000"/>
          <w:sz w:val="24"/>
        </w:rPr>
      </w:r>
    </w:p>
    <w:p>
      <w:pPr>
        <w:pStyle w:val="ListParagraph"/>
        <w:numPr>
          <w:ilvl w:val="1"/>
          <w:numId w:val="1"/>
        </w:numPr>
        <w:tabs>
          <w:tab w:val="clear" w:pos="708"/>
          <w:tab w:val="left" w:pos="1440" w:leader="none"/>
        </w:tabs>
        <w:snapToGrid w:val="false"/>
        <w:spacing w:lineRule="auto" w:line="276" w:before="113" w:after="113"/>
        <w:contextualSpacing/>
        <w:jc w:val="both"/>
        <w:rPr>
          <w:rFonts w:ascii="Calibri" w:hAnsi="Calibri" w:cs="Arial"/>
          <w:bCs/>
          <w:i w:val="false"/>
          <w:i w:val="false"/>
          <w:iCs w:val="false"/>
          <w:vanish/>
          <w:color w:val="000000"/>
          <w:sz w:val="24"/>
        </w:rPr>
      </w:pPr>
      <w:r>
        <w:rPr>
          <w:rFonts w:cs="Arial" w:ascii="Calibri" w:hAnsi="Calibri"/>
          <w:bCs/>
          <w:i w:val="false"/>
          <w:iCs w:val="false"/>
          <w:vanish/>
          <w:color w:val="000000"/>
          <w:sz w:val="24"/>
        </w:rPr>
      </w:r>
    </w:p>
    <w:p>
      <w:pPr>
        <w:pStyle w:val="ListParagraph"/>
        <w:numPr>
          <w:ilvl w:val="1"/>
          <w:numId w:val="1"/>
        </w:numPr>
        <w:tabs>
          <w:tab w:val="clear" w:pos="708"/>
          <w:tab w:val="left" w:pos="1440" w:leader="none"/>
        </w:tabs>
        <w:snapToGrid w:val="false"/>
        <w:spacing w:lineRule="auto" w:line="276" w:before="113" w:after="113"/>
        <w:contextualSpacing/>
        <w:jc w:val="both"/>
        <w:rPr>
          <w:rFonts w:ascii="Calibri" w:hAnsi="Calibri" w:cs="Arial"/>
          <w:bCs/>
          <w:i w:val="false"/>
          <w:i w:val="false"/>
          <w:iCs w:val="false"/>
          <w:vanish/>
          <w:color w:val="000000"/>
          <w:sz w:val="24"/>
        </w:rPr>
      </w:pPr>
      <w:r>
        <w:rPr>
          <w:rFonts w:cs="Arial" w:ascii="Calibri" w:hAnsi="Calibri"/>
          <w:bCs/>
          <w:i w:val="false"/>
          <w:iCs w:val="false"/>
          <w:vanish/>
          <w:color w:val="000000"/>
          <w:sz w:val="24"/>
        </w:rPr>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i w:val="false"/>
          <w:iCs w:val="false"/>
          <w:color w:val="000000" w:themeColor="text1"/>
          <w:sz w:val="24"/>
        </w:rPr>
        <w:t>3.9.1. que inexistem fatos impeditivos para sua habilitação no certame, ciente da obrigatoriedade de declarar ocorrências posteriores;</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i w:val="false"/>
          <w:iCs w:val="false"/>
          <w:color w:val="000000" w:themeColor="text1"/>
          <w:sz w:val="24"/>
        </w:rPr>
        <w:t xml:space="preserve">3.9.2. que </w:t>
      </w:r>
      <w:r>
        <w:rPr>
          <w:rFonts w:cs="Arial" w:ascii="Calibri" w:hAnsi="Calibri"/>
          <w:i w:val="false"/>
          <w:iCs w:val="false"/>
          <w:color w:val="000000"/>
          <w:sz w:val="24"/>
        </w:rPr>
        <w:t>cumpre</w:t>
      </w:r>
      <w:r>
        <w:rPr>
          <w:rFonts w:cs="Arial" w:ascii="Calibri" w:hAnsi="Calibri"/>
          <w:i w:val="false"/>
          <w:iCs w:val="false"/>
          <w:color w:val="000000" w:themeColor="text1"/>
          <w:sz w:val="24"/>
        </w:rPr>
        <w:t xml:space="preserve"> os requisitos estabelecidos no artigo 3° da Lei Complementar nº 123, de 2006, estando apto a usufruir do tratamento favorecido estabelecido em seus arts. 42 a 49.</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i w:val="false"/>
          <w:iCs w:val="false"/>
          <w:color w:val="000000" w:themeColor="text1"/>
          <w:sz w:val="24"/>
        </w:rPr>
        <w:t>3.9.3. que está ciente e concorda com as condições contidas no Aviso de Contratação Direta e seus anexos;</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i w:val="false"/>
          <w:iCs w:val="false"/>
          <w:color w:val="000000" w:themeColor="text1"/>
          <w:sz w:val="24"/>
        </w:rPr>
        <w:t>3.9.4. que assume a responsabilidade pelas transações que forem efetuadas no sistema, assumindo como firmes e verdadeiras;</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i w:val="false"/>
          <w:iCs w:val="false"/>
          <w:color w:val="000000" w:themeColor="text1"/>
          <w:sz w:val="24"/>
        </w:rPr>
        <w:t>3.9.5. que cumpre as exigências de reserva de cargos para pessoa com deficiência e para reabilitado da Previdência Social, de que trata o art. 93 da Lei nº 8.213/91.</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i w:val="false"/>
          <w:iCs w:val="false"/>
          <w:color w:val="000000" w:themeColor="text1"/>
          <w:sz w:val="24"/>
        </w:rPr>
        <w:t>3.9.6. que não emprega menor de 18 anos em trabalho noturno, perigoso ou insalubre e não emprega menor de 16 anos, salvo menor, a partir de 14 anos, na condição de aprendiz, nos termos do artigo 7°, XXXIII, da Constituição;</w:t>
      </w:r>
    </w:p>
    <w:p>
      <w:pPr>
        <w:pStyle w:val="Normal"/>
        <w:widowControl/>
        <w:numPr>
          <w:ilvl w:val="0"/>
          <w:numId w:val="0"/>
        </w:numPr>
        <w:suppressAutoHyphens w:val="true"/>
        <w:bidi w:val="0"/>
        <w:spacing w:lineRule="auto" w:line="276" w:before="113" w:after="113"/>
        <w:ind w:left="737" w:right="0" w:hanging="0"/>
        <w:jc w:val="both"/>
        <w:rPr>
          <w:rFonts w:ascii="Calibri" w:hAnsi="Calibri"/>
          <w:i w:val="false"/>
          <w:i w:val="false"/>
          <w:iCs w:val="false"/>
          <w:color w:val="000000"/>
        </w:rPr>
      </w:pPr>
      <w:r>
        <w:rPr>
          <w:rFonts w:cs="Arial" w:ascii="Calibri" w:hAnsi="Calibri"/>
          <w:i w:val="false"/>
          <w:iCs w:val="false"/>
          <w:color w:val="000000"/>
          <w:sz w:val="24"/>
        </w:rPr>
        <w:t>3.10. Se disponível, fica facultado ao fornecedor, ao cadastrar sua proposta inicial, a parametrização de valor final mínimo, com o registro do seu lance final aceitável (menor preço ou maior desconto, conforme o caso).</w:t>
      </w:r>
    </w:p>
    <w:p>
      <w:pPr>
        <w:pStyle w:val="Normal"/>
        <w:numPr>
          <w:ilvl w:val="0"/>
          <w:numId w:val="0"/>
        </w:numPr>
        <w:spacing w:lineRule="auto" w:line="276" w:before="113" w:after="113"/>
        <w:ind w:left="1224" w:hanging="0"/>
        <w:jc w:val="both"/>
        <w:rPr>
          <w:rFonts w:ascii="Calibri" w:hAnsi="Calibri"/>
          <w:i w:val="false"/>
          <w:i w:val="false"/>
          <w:iCs w:val="false"/>
          <w:color w:val="000000"/>
        </w:rPr>
      </w:pPr>
      <w:r>
        <w:rPr>
          <w:rFonts w:cs="Arial" w:ascii="Calibri" w:hAnsi="Calibri"/>
          <w:i w:val="false"/>
          <w:iCs w:val="false"/>
          <w:color w:val="000000"/>
          <w:sz w:val="24"/>
        </w:rPr>
        <w:t xml:space="preserve">3.10.1. Feita essa opção os lances serão enviados automaticamente pelo sistema, respeitados os limites cadastrados pelo fornecedor e o intervalo mínimo entre lances previsto neste aviso. </w:t>
      </w:r>
    </w:p>
    <w:p>
      <w:pPr>
        <w:pStyle w:val="Normal"/>
        <w:widowControl/>
        <w:numPr>
          <w:ilvl w:val="0"/>
          <w:numId w:val="0"/>
        </w:numPr>
        <w:suppressAutoHyphens w:val="true"/>
        <w:bidi w:val="0"/>
        <w:spacing w:lineRule="auto" w:line="276" w:before="113" w:after="113"/>
        <w:ind w:left="1247" w:right="0" w:hanging="0"/>
        <w:jc w:val="both"/>
        <w:rPr>
          <w:rFonts w:ascii="Calibri" w:hAnsi="Calibri"/>
          <w:i w:val="false"/>
          <w:i w:val="false"/>
          <w:iCs w:val="false"/>
          <w:color w:val="000000"/>
        </w:rPr>
      </w:pPr>
      <w:r>
        <w:rPr>
          <w:rFonts w:cs="Arial" w:ascii="Calibri" w:hAnsi="Calibri"/>
          <w:i w:val="false"/>
          <w:iCs w:val="false"/>
          <w:color w:val="000000"/>
          <w:sz w:val="24"/>
        </w:rPr>
        <w:t>3.10.2. Sem prejuízo do disposto acima, os lances poderão ser enviados manualmente, na forma da seção respectiva deste Aviso de Contratação Direta;</w:t>
      </w:r>
    </w:p>
    <w:p>
      <w:pPr>
        <w:pStyle w:val="Normal"/>
        <w:numPr>
          <w:ilvl w:val="0"/>
          <w:numId w:val="0"/>
        </w:numPr>
        <w:spacing w:lineRule="auto" w:line="276" w:before="113" w:after="113"/>
        <w:ind w:left="1224" w:hanging="0"/>
        <w:jc w:val="both"/>
        <w:rPr>
          <w:rFonts w:ascii="Calibri" w:hAnsi="Calibri"/>
          <w:i w:val="false"/>
          <w:i w:val="false"/>
          <w:iCs w:val="false"/>
          <w:color w:val="000000"/>
        </w:rPr>
      </w:pPr>
      <w:r>
        <w:rPr>
          <w:rFonts w:cs="Arial" w:ascii="Calibri" w:hAnsi="Calibri"/>
          <w:i w:val="false"/>
          <w:iCs w:val="false"/>
          <w:color w:val="000000"/>
          <w:sz w:val="24"/>
        </w:rPr>
        <w:t>3.10.3. O valor final mínimo poderá ser alterado pelo fornecedor durante a fase de disputa, desde que não assuma valor superior a lance já registrado por ele no sistema.</w:t>
      </w:r>
    </w:p>
    <w:p>
      <w:pPr>
        <w:pStyle w:val="Normal"/>
        <w:numPr>
          <w:ilvl w:val="0"/>
          <w:numId w:val="0"/>
        </w:numPr>
        <w:spacing w:lineRule="auto" w:line="276" w:before="113" w:after="227"/>
        <w:ind w:left="1224" w:hanging="0"/>
        <w:jc w:val="both"/>
        <w:rPr>
          <w:rFonts w:ascii="Calibri" w:hAnsi="Calibri"/>
          <w:i w:val="false"/>
          <w:i w:val="false"/>
          <w:iCs w:val="false"/>
          <w:color w:val="000000"/>
        </w:rPr>
      </w:pPr>
      <w:r>
        <w:rPr>
          <w:rFonts w:cs="Arial" w:ascii="Calibri" w:hAnsi="Calibri"/>
          <w:i w:val="false"/>
          <w:iCs w:val="false"/>
          <w:color w:val="000000"/>
          <w:sz w:val="24"/>
        </w:rPr>
        <w:t>3.10.4. O valor mínimo parametrizado possui caráter sigiloso aos demais participantes do certame e para o órgão ou entidade contratante. Apenas os lances efetivamente enviados poderão ser conhecidos dos fornecedores na forma da seção seguinte deste Aviso.</w:t>
      </w:r>
    </w:p>
    <w:p>
      <w:pPr>
        <w:pStyle w:val="Ttulo1"/>
        <w:numPr>
          <w:ilvl w:val="0"/>
          <w:numId w:val="0"/>
        </w:numPr>
        <w:spacing w:lineRule="auto" w:line="276" w:before="113" w:after="113"/>
        <w:ind w:left="360" w:hanging="0"/>
        <w:rPr>
          <w:rFonts w:ascii="Calibri" w:hAnsi="Calibri"/>
          <w:b/>
          <w:b/>
          <w:bCs/>
          <w:i w:val="false"/>
          <w:i w:val="false"/>
          <w:iCs w:val="false"/>
        </w:rPr>
      </w:pPr>
      <w:r>
        <w:rPr>
          <w:rFonts w:cs="Arial" w:ascii="Calibri" w:hAnsi="Calibri"/>
          <w:b/>
          <w:bCs/>
          <w:i w:val="false"/>
          <w:iCs w:val="false"/>
          <w:color w:val="auto"/>
          <w:sz w:val="24"/>
          <w:szCs w:val="24"/>
        </w:rPr>
        <w:t xml:space="preserve">4. </w:t>
      </w:r>
      <w:bookmarkStart w:id="5" w:name="_Toc104906821"/>
      <w:r>
        <w:rPr>
          <w:rFonts w:cs="Arial" w:ascii="Calibri" w:hAnsi="Calibri"/>
          <w:b/>
          <w:bCs/>
          <w:i w:val="false"/>
          <w:iCs w:val="false"/>
          <w:color w:val="auto"/>
          <w:sz w:val="24"/>
          <w:szCs w:val="24"/>
        </w:rPr>
        <w:t>FASE DE LANCES</w:t>
      </w:r>
      <w:bookmarkEnd w:id="5"/>
    </w:p>
    <w:p>
      <w:pPr>
        <w:pStyle w:val="ListParagraph"/>
        <w:widowControl/>
        <w:numPr>
          <w:ilvl w:val="0"/>
          <w:numId w:val="0"/>
        </w:numPr>
        <w:suppressAutoHyphens w:val="true"/>
        <w:bidi w:val="0"/>
        <w:spacing w:lineRule="auto" w:line="276" w:before="113" w:after="113"/>
        <w:ind w:left="737"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 xml:space="preserve">4.1. A partir das 8:00h da data estabelecida neste Aviso de Contratação Direta, a sessão pública será automaticamente aberta pelo sistema para o envio de lances públicos e sucessivos, </w:t>
      </w:r>
      <w:r>
        <w:rPr>
          <w:rFonts w:cs="Arial" w:ascii="Calibri" w:hAnsi="Calibri"/>
          <w:bCs/>
          <w:i w:val="false"/>
          <w:iCs w:val="false"/>
          <w:sz w:val="24"/>
          <w:lang w:eastAsia="en-US"/>
        </w:rPr>
        <w:t>exclusivamente por meio do sistema eletrônico</w:t>
      </w:r>
      <w:r>
        <w:rPr>
          <w:rFonts w:cs="Arial" w:ascii="Calibri" w:hAnsi="Calibri"/>
          <w:i w:val="false"/>
          <w:iCs w:val="false"/>
          <w:sz w:val="24"/>
          <w:lang w:eastAsia="en-US"/>
        </w:rPr>
        <w:t xml:space="preserve">, </w:t>
      </w:r>
      <w:r>
        <w:rPr>
          <w:rFonts w:cs="Arial" w:ascii="Calibri" w:hAnsi="Calibri"/>
          <w:i w:val="false"/>
          <w:iCs w:val="false"/>
          <w:color w:val="000000" w:themeColor="text1"/>
          <w:sz w:val="24"/>
          <w:lang w:eastAsia="en-US"/>
        </w:rPr>
        <w:t>sendo encerrado no horário de finalização de lances também já previsto neste aviso.</w:t>
      </w:r>
    </w:p>
    <w:p>
      <w:pPr>
        <w:pStyle w:val="ListParagraph"/>
        <w:widowControl/>
        <w:numPr>
          <w:ilvl w:val="0"/>
          <w:numId w:val="0"/>
        </w:numPr>
        <w:suppressAutoHyphens w:val="true"/>
        <w:bidi w:val="0"/>
        <w:spacing w:lineRule="auto" w:line="276" w:before="113" w:after="113"/>
        <w:ind w:left="737" w:right="0" w:hanging="0"/>
        <w:contextualSpacing/>
        <w:jc w:val="both"/>
        <w:rPr>
          <w:rFonts w:ascii="Calibri" w:hAnsi="Calibri"/>
          <w:i w:val="false"/>
          <w:i w:val="false"/>
          <w:iCs w:val="false"/>
        </w:rPr>
      </w:pPr>
      <w:r>
        <w:rPr>
          <w:rFonts w:cs="Arial" w:ascii="Calibri" w:hAnsi="Calibri"/>
          <w:i w:val="false"/>
          <w:iCs w:val="false"/>
          <w:color w:val="000000" w:themeColor="text1"/>
          <w:sz w:val="24"/>
        </w:rPr>
        <w:t xml:space="preserve">4.2. Iniciada a etapa competitiva, os fornecedores deverão encaminhar lances exclusivamente por meio de sistema eletrônico, sendo imediatamente informados do seu recebimento e do valor consignado no registro. </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sz w:val="24"/>
        </w:rPr>
        <w:t>4.2.1. O lance deverá ser ofertado pelo valor unitário do item</w:t>
      </w:r>
    </w:p>
    <w:p>
      <w:pPr>
        <w:pStyle w:val="ListParagraph"/>
        <w:widowControl/>
        <w:numPr>
          <w:ilvl w:val="0"/>
          <w:numId w:val="0"/>
        </w:numPr>
        <w:suppressAutoHyphens w:val="true"/>
        <w:bidi w:val="0"/>
        <w:spacing w:lineRule="auto" w:line="276" w:before="113" w:after="113"/>
        <w:ind w:left="737"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4.3. O fornecedor somente poderá oferecer valor inferior ou maior percentual de desconto em relação ao último lance por ele ofertado e registrado pelo sistema.</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4.3.1. 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sz w:val="24"/>
        </w:rPr>
        <w:t xml:space="preserve">4.3.2. O intervalo mínimo de diferença de valores ou percentuais </w:t>
      </w:r>
      <w:r>
        <w:rPr>
          <w:rFonts w:cs="Arial" w:ascii="Calibri" w:hAnsi="Calibri"/>
          <w:i w:val="false"/>
          <w:iCs w:val="false"/>
          <w:color w:val="000000"/>
          <w:sz w:val="24"/>
        </w:rPr>
        <w:t xml:space="preserve">entre os lances, que incidirá tanto em relação aos lances intermediários quanto em relação ao que cobrir a melhor oferta é de </w:t>
      </w:r>
      <w:r>
        <w:rPr>
          <w:rFonts w:eastAsia="Times New Roman" w:cs="Arial" w:ascii="Calibri" w:hAnsi="Calibri"/>
          <w:i w:val="false"/>
          <w:iCs w:val="false"/>
          <w:color w:val="000000"/>
          <w:sz w:val="24"/>
          <w:szCs w:val="24"/>
          <w:lang w:eastAsia="pt-BR"/>
        </w:rPr>
        <w:t>R$0,01</w:t>
      </w:r>
      <w:r>
        <w:rPr>
          <w:rFonts w:cs="Arial" w:ascii="Calibri" w:hAnsi="Calibri"/>
          <w:i w:val="false"/>
          <w:iCs w:val="false"/>
          <w:color w:val="000000"/>
          <w:sz w:val="24"/>
        </w:rPr>
        <w:t xml:space="preserve"> (</w:t>
      </w:r>
      <w:r>
        <w:rPr>
          <w:rFonts w:eastAsia="Times New Roman" w:cs="Arial" w:ascii="Calibri" w:hAnsi="Calibri"/>
          <w:i w:val="false"/>
          <w:iCs w:val="false"/>
          <w:color w:val="000000"/>
          <w:sz w:val="24"/>
          <w:szCs w:val="24"/>
          <w:lang w:eastAsia="pt-BR"/>
        </w:rPr>
        <w:t>um centavo)</w:t>
      </w:r>
      <w:r>
        <w:rPr>
          <w:rFonts w:cs="Arial" w:ascii="Calibri" w:hAnsi="Calibri"/>
          <w:i w:val="false"/>
          <w:iCs w:val="false"/>
          <w:color w:val="000000"/>
          <w:sz w:val="24"/>
        </w:rPr>
        <w:t>.</w:t>
      </w:r>
    </w:p>
    <w:p>
      <w:pPr>
        <w:pStyle w:val="ListParagraph"/>
        <w:widowControl/>
        <w:numPr>
          <w:ilvl w:val="0"/>
          <w:numId w:val="0"/>
        </w:numPr>
        <w:suppressAutoHyphens w:val="true"/>
        <w:bidi w:val="0"/>
        <w:spacing w:lineRule="auto" w:line="276" w:before="113" w:after="113"/>
        <w:ind w:left="680"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4.4. Havendo lances iguais ao menor já ofertado, prevalecerá aquele que for recebido e registrado primeiro no sistema.</w:t>
      </w:r>
    </w:p>
    <w:p>
      <w:pPr>
        <w:pStyle w:val="ListParagraph"/>
        <w:widowControl/>
        <w:numPr>
          <w:ilvl w:val="0"/>
          <w:numId w:val="0"/>
        </w:numPr>
        <w:suppressAutoHyphens w:val="true"/>
        <w:bidi w:val="0"/>
        <w:spacing w:lineRule="auto" w:line="276" w:before="113" w:after="113"/>
        <w:ind w:left="680"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4.5. Caso o fornecedor não apresente lances, concorrerá com o valor de sua proposta.</w:t>
      </w:r>
    </w:p>
    <w:p>
      <w:pPr>
        <w:pStyle w:val="ListParagraph"/>
        <w:widowControl/>
        <w:numPr>
          <w:ilvl w:val="0"/>
          <w:numId w:val="0"/>
        </w:numPr>
        <w:suppressAutoHyphens w:val="true"/>
        <w:bidi w:val="0"/>
        <w:spacing w:lineRule="auto" w:line="276" w:before="113" w:after="113"/>
        <w:ind w:left="680"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4.6. Durante o procedimento, os fornecedores serão informados, em tempo real, do valor do menor lance registrado, vedada a identificação do fornecedor.</w:t>
      </w:r>
    </w:p>
    <w:p>
      <w:pPr>
        <w:pStyle w:val="ListParagraph"/>
        <w:widowControl/>
        <w:numPr>
          <w:ilvl w:val="0"/>
          <w:numId w:val="0"/>
        </w:numPr>
        <w:suppressAutoHyphens w:val="true"/>
        <w:bidi w:val="0"/>
        <w:spacing w:lineRule="auto" w:line="276" w:before="113" w:after="113"/>
        <w:ind w:left="680"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4.7. Imediatamente após o término do prazo estabelecido para a fase de lances, haverá o seu encerramento, com o ordenamento e divulgação dos lances, pelo sistema, em ordem crescente de classificação.</w:t>
      </w:r>
    </w:p>
    <w:p>
      <w:pPr>
        <w:pStyle w:val="ListParagraph"/>
        <w:numPr>
          <w:ilvl w:val="0"/>
          <w:numId w:val="0"/>
        </w:numPr>
        <w:spacing w:lineRule="auto" w:line="276" w:before="113" w:after="227"/>
        <w:ind w:left="1944"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4.7.1. O encerramento da fase de lances ocorrerá de forma automática pontualmente no horário indicado, sem qualquer possibilidade de prorrogação e não havendo tempo aleatório ou mecanismo similar.</w:t>
      </w:r>
    </w:p>
    <w:p>
      <w:pPr>
        <w:pStyle w:val="Ttulo1"/>
        <w:numPr>
          <w:ilvl w:val="0"/>
          <w:numId w:val="0"/>
        </w:numPr>
        <w:spacing w:lineRule="auto" w:line="276" w:before="113" w:after="113"/>
        <w:ind w:left="360" w:hanging="0"/>
        <w:rPr>
          <w:rFonts w:ascii="Calibri" w:hAnsi="Calibri"/>
          <w:b/>
          <w:b/>
          <w:bCs/>
          <w:i w:val="false"/>
          <w:i w:val="false"/>
          <w:iCs w:val="false"/>
        </w:rPr>
      </w:pPr>
      <w:r>
        <w:rPr>
          <w:rFonts w:cs="Arial" w:ascii="Calibri" w:hAnsi="Calibri"/>
          <w:b/>
          <w:bCs/>
          <w:i w:val="false"/>
          <w:iCs w:val="false"/>
          <w:color w:val="auto"/>
          <w:sz w:val="24"/>
          <w:szCs w:val="24"/>
        </w:rPr>
        <w:t xml:space="preserve">5. </w:t>
      </w:r>
      <w:bookmarkStart w:id="6" w:name="_Toc104906822"/>
      <w:r>
        <w:rPr>
          <w:rFonts w:cs="Arial" w:ascii="Calibri" w:hAnsi="Calibri"/>
          <w:b/>
          <w:bCs/>
          <w:i w:val="false"/>
          <w:iCs w:val="false"/>
          <w:color w:val="auto"/>
          <w:sz w:val="24"/>
          <w:szCs w:val="24"/>
        </w:rPr>
        <w:t>JULGAMENTO DAS PROPOSTAS DE PREÇO</w:t>
      </w:r>
      <w:bookmarkEnd w:id="6"/>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sz w:val="24"/>
        </w:rPr>
        <w:t>5.1. Encerrada a fase de lances, será verificada a conformidade da proposta classificada em primeiro lugar quanto à adequação do objeto e à compatibilidade do preço em relação ao estipulado para a contratação.</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sz w:val="24"/>
        </w:rPr>
        <w:t>5.2. No caso de o preço da proposta vencedora estar acima do estimado pela Administração, poderá haver a negociação de condições mais vantajosas.</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sz w:val="24"/>
        </w:rPr>
        <w:t>5.2.1. Neste caso, será encaminhada contraproposta ao fornecedor que tenha apresentado o melhor preço, para que seja obtida melhor proposta com preço compatível ao estimado pela Administração.</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sz w:val="24"/>
        </w:rPr>
        <w:t>5.2.2. A negociação poderá ser feita com os demais fornecedores classificados, respeitada a ordem de classificação, quando o primeiro colocado, mesmo após a negociação, for desclassificado em razão de sua proposta permanecer acima do preço máximo definido para a contratação.</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sz w:val="24"/>
        </w:rPr>
        <w:t>5.2.3. Em qualquer caso, concluída a negociação, o resultado será registrado na ata do procedimento da dispensa eletrônica.</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sz w:val="24"/>
        </w:rPr>
        <w:t>5.3. Estando o preço compatível, será solicitado o envio da proposta e, se necessário, de documentos complementares, adequada ao último lance.</w:t>
      </w:r>
    </w:p>
    <w:p>
      <w:pPr>
        <w:pStyle w:val="Normal"/>
        <w:widowControl/>
        <w:numPr>
          <w:ilvl w:val="0"/>
          <w:numId w:val="0"/>
        </w:numPr>
        <w:suppressAutoHyphens w:val="true"/>
        <w:bidi w:val="0"/>
        <w:spacing w:lineRule="auto" w:line="276" w:before="113" w:after="113"/>
        <w:ind w:left="624" w:right="0" w:hanging="0"/>
        <w:jc w:val="both"/>
        <w:rPr>
          <w:rFonts w:ascii="Calibri" w:hAnsi="Calibri"/>
          <w:i w:val="false"/>
          <w:i w:val="false"/>
          <w:iCs w:val="false"/>
        </w:rPr>
      </w:pPr>
      <w:r>
        <w:rPr>
          <w:rFonts w:cs="Arial" w:ascii="Calibri" w:hAnsi="Calibri"/>
          <w:i w:val="false"/>
          <w:iCs w:val="false"/>
          <w:color w:val="000000" w:themeColor="text1"/>
          <w:sz w:val="24"/>
        </w:rPr>
        <w:t xml:space="preserve">5.4. O prazo de validade </w:t>
      </w:r>
      <w:r>
        <w:rPr>
          <w:rFonts w:cs="Arial" w:ascii="Calibri" w:hAnsi="Calibri"/>
          <w:i w:val="false"/>
          <w:iCs w:val="false"/>
          <w:sz w:val="24"/>
        </w:rPr>
        <w:t>da</w:t>
      </w:r>
      <w:r>
        <w:rPr>
          <w:rFonts w:cs="Arial" w:ascii="Calibri" w:hAnsi="Calibri"/>
          <w:i w:val="false"/>
          <w:iCs w:val="false"/>
          <w:color w:val="000000" w:themeColor="text1"/>
          <w:sz w:val="24"/>
        </w:rPr>
        <w:t xml:space="preserve"> proposta não será inferior a </w:t>
      </w:r>
      <w:r>
        <w:rPr>
          <w:rFonts w:eastAsia="Times New Roman" w:cs="Arial" w:ascii="Calibri" w:hAnsi="Calibri"/>
          <w:i w:val="false"/>
          <w:iCs w:val="false"/>
          <w:color w:val="000000"/>
          <w:sz w:val="24"/>
          <w:szCs w:val="24"/>
          <w:lang w:eastAsia="pt-BR"/>
        </w:rPr>
        <w:t>60</w:t>
      </w:r>
      <w:r>
        <w:rPr>
          <w:rFonts w:cs="Arial" w:ascii="Calibri" w:hAnsi="Calibri"/>
          <w:i w:val="false"/>
          <w:iCs w:val="false"/>
          <w:color w:val="000000"/>
          <w:sz w:val="24"/>
        </w:rPr>
        <w:t xml:space="preserve"> (</w:t>
      </w:r>
      <w:r>
        <w:rPr>
          <w:rFonts w:eastAsia="Times New Roman" w:cs="Arial" w:ascii="Calibri" w:hAnsi="Calibri"/>
          <w:i w:val="false"/>
          <w:iCs w:val="false"/>
          <w:color w:val="000000"/>
          <w:sz w:val="24"/>
          <w:szCs w:val="24"/>
          <w:lang w:eastAsia="pt-BR"/>
        </w:rPr>
        <w:t>sessenta</w:t>
      </w:r>
      <w:r>
        <w:rPr>
          <w:rFonts w:cs="Arial" w:ascii="Calibri" w:hAnsi="Calibri"/>
          <w:i w:val="false"/>
          <w:iCs w:val="false"/>
          <w:color w:val="000000"/>
          <w:sz w:val="24"/>
        </w:rPr>
        <w:t>)</w:t>
      </w:r>
      <w:r>
        <w:rPr>
          <w:rFonts w:cs="Arial" w:ascii="Calibri" w:hAnsi="Calibri"/>
          <w:i w:val="false"/>
          <w:iCs w:val="false"/>
          <w:color w:val="000000" w:themeColor="text1"/>
          <w:sz w:val="24"/>
        </w:rPr>
        <w:t xml:space="preserve"> dias</w:t>
      </w:r>
      <w:r>
        <w:rPr>
          <w:rFonts w:cs="Arial" w:ascii="Calibri" w:hAnsi="Calibri"/>
          <w:b w:val="false"/>
          <w:bCs w:val="false"/>
          <w:i w:val="false"/>
          <w:iCs w:val="false"/>
          <w:color w:val="000000" w:themeColor="text1"/>
          <w:sz w:val="24"/>
        </w:rPr>
        <w:t xml:space="preserve">, </w:t>
      </w:r>
      <w:r>
        <w:rPr>
          <w:rFonts w:cs="Arial" w:ascii="Calibri" w:hAnsi="Calibri"/>
          <w:i w:val="false"/>
          <w:iCs w:val="false"/>
          <w:color w:val="000000" w:themeColor="text1"/>
          <w:sz w:val="24"/>
        </w:rPr>
        <w:t>a contar da data de sua apresentação.</w:t>
      </w:r>
    </w:p>
    <w:p>
      <w:pPr>
        <w:pStyle w:val="ListParagraph"/>
        <w:widowControl/>
        <w:numPr>
          <w:ilvl w:val="0"/>
          <w:numId w:val="0"/>
        </w:numPr>
        <w:suppressAutoHyphens w:val="true"/>
        <w:bidi w:val="0"/>
        <w:spacing w:lineRule="auto" w:line="276" w:before="113" w:after="113"/>
        <w:ind w:left="680"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 xml:space="preserve">5.5. Será desclassificada a proposta vencedora que: </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sz w:val="24"/>
        </w:rPr>
        <w:t>5.5.1. contiver vícios insanáveis</w:t>
      </w:r>
      <w:r>
        <w:rPr>
          <w:rFonts w:cs="Arial" w:ascii="Calibri" w:hAnsi="Calibri"/>
          <w:i w:val="false"/>
          <w:iCs w:val="false"/>
          <w:color w:val="000000" w:themeColor="text1"/>
          <w:sz w:val="24"/>
        </w:rPr>
        <w:t>;</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sz w:val="24"/>
        </w:rPr>
        <w:t>5.5.2. não obedecer às especificações técnicas pormenorizadas neste aviso ou em seus anexos</w:t>
      </w:r>
      <w:r>
        <w:rPr>
          <w:rFonts w:cs="Arial" w:ascii="Calibri" w:hAnsi="Calibri"/>
          <w:i w:val="false"/>
          <w:iCs w:val="false"/>
          <w:color w:val="000000" w:themeColor="text1"/>
          <w:sz w:val="24"/>
        </w:rPr>
        <w:t>;</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sz w:val="24"/>
        </w:rPr>
        <w:t>5.5.3. apresentar preços inexequíveis ou permanecerem acima do preço máximo definido para a contratação;</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sz w:val="24"/>
        </w:rPr>
        <w:t>5.5.4. não tiverem sua exequibilidade demonstrada, quando exigido pela Administração</w:t>
      </w:r>
      <w:r>
        <w:rPr>
          <w:rFonts w:cs="Arial" w:ascii="Calibri" w:hAnsi="Calibri"/>
          <w:i w:val="false"/>
          <w:iCs w:val="false"/>
          <w:color w:val="000000" w:themeColor="text1"/>
          <w:sz w:val="24"/>
        </w:rPr>
        <w:t>;</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sz w:val="24"/>
        </w:rPr>
        <w:t>5.5.5. apresentar desconformidade com quaisquer outras exigências deste aviso ou seus anexos, desde que insanável.</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5.6. Quando</w:t>
      </w:r>
      <w:r>
        <w:rPr>
          <w:rFonts w:cs="Arial" w:ascii="Calibri" w:hAnsi="Calibri"/>
          <w:i w:val="false"/>
          <w:iCs w:val="false"/>
          <w:sz w:val="24"/>
        </w:rPr>
        <w:t xml:space="preserve"> o fornecedor não conseguir comprovar que possui ou possuirá recursos suficientes para executar a contento o objeto, será considerada inexequível a proposta de preços ou menor lance que:</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sz w:val="24"/>
        </w:rPr>
        <w:t>5.6.1. 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sz w:val="24"/>
        </w:rPr>
        <w:t>5.6.2. apresentar um ou mais valores da planilha de custo que sejam inferiores àqueles fixados em instrumentos de caráter normativo obrigatório, tais como leis, medidas provisórias e convenções coletivas de trabalho vigentes.</w:t>
      </w:r>
    </w:p>
    <w:p>
      <w:pPr>
        <w:pStyle w:val="ListParagraph"/>
        <w:widowControl/>
        <w:numPr>
          <w:ilvl w:val="0"/>
          <w:numId w:val="0"/>
        </w:numPr>
        <w:suppressAutoHyphens w:val="true"/>
        <w:bidi w:val="0"/>
        <w:spacing w:lineRule="auto" w:line="276" w:before="113" w:after="113"/>
        <w:ind w:left="567" w:right="0" w:hanging="0"/>
        <w:contextualSpacing/>
        <w:jc w:val="both"/>
        <w:rPr>
          <w:rFonts w:ascii="Calibri" w:hAnsi="Calibri"/>
          <w:i w:val="false"/>
          <w:i w:val="false"/>
          <w:iCs w:val="false"/>
        </w:rPr>
      </w:pPr>
      <w:r>
        <w:rPr>
          <w:rFonts w:cs="Arial" w:ascii="Calibri" w:hAnsi="Calibri"/>
          <w:i w:val="false"/>
          <w:iCs w:val="false"/>
          <w:color w:val="000000"/>
          <w:sz w:val="24"/>
          <w:lang w:eastAsia="en-US"/>
        </w:rPr>
        <w:t xml:space="preserve">5.7. </w:t>
      </w:r>
      <w:r>
        <w:rPr>
          <w:rFonts w:cs="Arial" w:ascii="Calibri" w:hAnsi="Calibri"/>
          <w:i w:val="false"/>
          <w:iCs w:val="false"/>
          <w:color w:val="000000" w:themeColor="text1"/>
          <w:sz w:val="24"/>
          <w:lang w:eastAsia="en-US"/>
        </w:rPr>
        <w:t xml:space="preserve">Se houver indícios de inexequibilidade da proposta de preço, ou em caso da necessidade de esclarecimentos </w:t>
      </w:r>
      <w:r>
        <w:rPr>
          <w:rFonts w:cs="Arial" w:ascii="Calibri" w:hAnsi="Calibri"/>
          <w:i w:val="false"/>
          <w:iCs w:val="false"/>
          <w:sz w:val="24"/>
        </w:rPr>
        <w:t>complementares</w:t>
      </w:r>
      <w:r>
        <w:rPr>
          <w:rFonts w:cs="Arial" w:ascii="Calibri" w:hAnsi="Calibri"/>
          <w:i w:val="false"/>
          <w:iCs w:val="false"/>
          <w:color w:val="000000" w:themeColor="text1"/>
          <w:sz w:val="24"/>
          <w:lang w:eastAsia="en-US"/>
        </w:rPr>
        <w:t xml:space="preserve">, poderão ser efetuadas diligências, para que a empresa comprove a exequibilidade da proposta.  </w:t>
      </w:r>
    </w:p>
    <w:p>
      <w:pPr>
        <w:pStyle w:val="ListParagraph"/>
        <w:widowControl/>
        <w:numPr>
          <w:ilvl w:val="0"/>
          <w:numId w:val="0"/>
        </w:numPr>
        <w:suppressAutoHyphens w:val="true"/>
        <w:bidi w:val="0"/>
        <w:spacing w:lineRule="auto" w:line="276" w:before="113" w:after="113"/>
        <w:ind w:left="510"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 xml:space="preserve">5.8. Erros no preenchimento da planilha não constituem motivo para a desclassificação da proposta. A planilha </w:t>
      </w:r>
      <w:r>
        <w:rPr>
          <w:rFonts w:cs="Arial" w:ascii="Calibri" w:hAnsi="Calibri"/>
          <w:i w:val="false"/>
          <w:iCs w:val="false"/>
          <w:sz w:val="24"/>
        </w:rPr>
        <w:t>poderá́</w:t>
      </w:r>
      <w:r>
        <w:rPr>
          <w:rFonts w:cs="Arial" w:ascii="Calibri" w:hAnsi="Calibri"/>
          <w:i w:val="false"/>
          <w:iCs w:val="false"/>
          <w:color w:val="000000" w:themeColor="text1"/>
          <w:sz w:val="24"/>
          <w:lang w:eastAsia="en-US"/>
        </w:rPr>
        <w:t xml:space="preserve"> ser ajustada pelo fornecedor, no prazo indicado pelo sistema, desde que não haja majoração do preço.</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5.8.1. O ajuste de que trata este dispositivo se limita a sanar erros ou falhas que não alterem a substância das propostas;</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5.8.2. Considera-se erro no preenchimento da planilha passível de correção a indicação de recolhimento de impostos e contribuições na forma do Simples Nacional, quando não cabível esse regime.</w:t>
      </w:r>
    </w:p>
    <w:p>
      <w:pPr>
        <w:pStyle w:val="ListParagraph"/>
        <w:widowControl/>
        <w:numPr>
          <w:ilvl w:val="0"/>
          <w:numId w:val="0"/>
        </w:numPr>
        <w:suppressAutoHyphens w:val="true"/>
        <w:bidi w:val="0"/>
        <w:spacing w:lineRule="auto" w:line="276" w:before="113" w:after="113"/>
        <w:ind w:left="567"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5.9. Para fins de análise da proposta quanto ao cumprimento das especificações do objeto, poderá ser colhida a manifestação escrita do setor requisitante do serviço ou da área especializada no objeto.</w:t>
      </w:r>
    </w:p>
    <w:p>
      <w:pPr>
        <w:pStyle w:val="ListParagraph"/>
        <w:widowControl/>
        <w:numPr>
          <w:ilvl w:val="0"/>
          <w:numId w:val="0"/>
        </w:numPr>
        <w:suppressAutoHyphens w:val="true"/>
        <w:bidi w:val="0"/>
        <w:spacing w:lineRule="auto" w:line="276" w:before="113" w:after="113"/>
        <w:ind w:left="567"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5.10. Se a proposta ou lance vencedor for desclassificado, será examinada a proposta ou lance subsequente, e, assim sucessivamente, na ordem de classificação.</w:t>
      </w:r>
    </w:p>
    <w:p>
      <w:pPr>
        <w:pStyle w:val="ListParagraph"/>
        <w:widowControl/>
        <w:numPr>
          <w:ilvl w:val="0"/>
          <w:numId w:val="0"/>
        </w:numPr>
        <w:suppressAutoHyphens w:val="true"/>
        <w:bidi w:val="0"/>
        <w:spacing w:lineRule="auto" w:line="276" w:before="113" w:after="113"/>
        <w:ind w:left="567"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5.11. Havendo necessidade, a sessão será suspensa, informando-se no “chat” a nova data e horário para a sua continuidade.</w:t>
      </w:r>
    </w:p>
    <w:p>
      <w:pPr>
        <w:pStyle w:val="ListParagraph"/>
        <w:widowControl/>
        <w:numPr>
          <w:ilvl w:val="0"/>
          <w:numId w:val="0"/>
        </w:numPr>
        <w:suppressAutoHyphens w:val="true"/>
        <w:bidi w:val="0"/>
        <w:spacing w:lineRule="auto" w:line="276" w:before="113" w:after="227"/>
        <w:ind w:left="567" w:right="0" w:hanging="0"/>
        <w:contextualSpacing/>
        <w:jc w:val="both"/>
        <w:rPr>
          <w:rFonts w:ascii="Calibri" w:hAnsi="Calibri"/>
          <w:i w:val="false"/>
          <w:i w:val="false"/>
          <w:iCs w:val="false"/>
        </w:rPr>
      </w:pPr>
      <w:r>
        <w:rPr>
          <w:rFonts w:cs="Arial" w:ascii="Calibri" w:hAnsi="Calibri"/>
          <w:i w:val="false"/>
          <w:iCs w:val="false"/>
          <w:color w:val="000000" w:themeColor="text1"/>
          <w:sz w:val="24"/>
          <w:lang w:eastAsia="en-US"/>
        </w:rPr>
        <w:t>5.12. Encerrada a análise quanto à aceitação da proposta, se iniciará a fase de habilitação, observado o disposto neste Aviso de Contratação Direta.</w:t>
      </w:r>
    </w:p>
    <w:p>
      <w:pPr>
        <w:pStyle w:val="Ttulo1"/>
        <w:numPr>
          <w:ilvl w:val="0"/>
          <w:numId w:val="0"/>
        </w:numPr>
        <w:ind w:left="360" w:hanging="0"/>
        <w:rPr>
          <w:rFonts w:ascii="Calibri" w:hAnsi="Calibri"/>
          <w:b/>
          <w:b/>
          <w:bCs/>
          <w:i w:val="false"/>
          <w:i w:val="false"/>
          <w:iCs w:val="false"/>
          <w:color w:val="000000"/>
        </w:rPr>
      </w:pPr>
      <w:r>
        <w:rPr>
          <w:rFonts w:cs="Arial" w:ascii="Calibri" w:hAnsi="Calibri"/>
          <w:b/>
          <w:bCs/>
          <w:i w:val="false"/>
          <w:iCs w:val="false"/>
          <w:color w:val="000000"/>
          <w:sz w:val="24"/>
          <w:szCs w:val="24"/>
        </w:rPr>
        <w:t xml:space="preserve">6. </w:t>
      </w:r>
      <w:bookmarkStart w:id="7" w:name="_Toc104906823"/>
      <w:r>
        <w:rPr>
          <w:rFonts w:cs="Arial" w:ascii="Calibri" w:hAnsi="Calibri"/>
          <w:b/>
          <w:bCs/>
          <w:i w:val="false"/>
          <w:iCs w:val="false"/>
          <w:color w:val="000000"/>
          <w:sz w:val="24"/>
          <w:szCs w:val="24"/>
        </w:rPr>
        <w:t>HABILITAÇÃO</w:t>
      </w:r>
      <w:bookmarkEnd w:id="7"/>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sz w:val="24"/>
          <w:lang w:eastAsia="ar-SA"/>
        </w:rPr>
        <w:t xml:space="preserve">6.1. Os </w:t>
      </w:r>
      <w:r>
        <w:rPr>
          <w:rFonts w:cs="Arial" w:ascii="Calibri" w:hAnsi="Calibri"/>
          <w:i w:val="false"/>
          <w:iCs w:val="false"/>
          <w:color w:val="000000"/>
          <w:sz w:val="24"/>
        </w:rPr>
        <w:t>documentos</w:t>
      </w:r>
      <w:r>
        <w:rPr>
          <w:rFonts w:cs="Arial" w:ascii="Calibri" w:hAnsi="Calibri"/>
          <w:i w:val="false"/>
          <w:iCs w:val="false"/>
          <w:sz w:val="24"/>
          <w:lang w:eastAsia="ar-SA"/>
        </w:rPr>
        <w:t xml:space="preserve"> a serem exigidos para fins de habilitação constam do </w:t>
      </w:r>
      <w:r>
        <w:rPr>
          <w:rFonts w:cs="Arial" w:ascii="Calibri" w:hAnsi="Calibri"/>
          <w:b/>
          <w:i w:val="false"/>
          <w:iCs w:val="false"/>
          <w:sz w:val="24"/>
          <w:lang w:eastAsia="ar-SA"/>
        </w:rPr>
        <w:t xml:space="preserve">ANEXO I – DOCUMENTAÇÃO EXIGIDA PARA HABILITAÇÃO </w:t>
      </w:r>
      <w:r>
        <w:rPr>
          <w:rFonts w:cs="Arial" w:ascii="Calibri" w:hAnsi="Calibri"/>
          <w:i w:val="false"/>
          <w:iCs w:val="false"/>
          <w:sz w:val="24"/>
          <w:lang w:eastAsia="ar-SA"/>
        </w:rPr>
        <w:t>deste aviso e serão solicitados do fornecedor mais bem classificado da fase de lances.</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sz w:val="24"/>
          <w:lang w:eastAsia="ar-SA"/>
        </w:rPr>
        <w:t xml:space="preserve">6.2. Como </w:t>
      </w:r>
      <w:r>
        <w:rPr>
          <w:rFonts w:cs="Arial" w:ascii="Calibri" w:hAnsi="Calibri"/>
          <w:i w:val="false"/>
          <w:iCs w:val="false"/>
          <w:color w:val="000000"/>
          <w:sz w:val="24"/>
        </w:rPr>
        <w:t>condição</w:t>
      </w:r>
      <w:r>
        <w:rPr>
          <w:rFonts w:cs="Arial" w:ascii="Calibri" w:hAnsi="Calibri"/>
          <w:i w:val="false"/>
          <w:iCs w:val="false"/>
          <w:sz w:val="24"/>
          <w:lang w:eastAsia="ar-SA"/>
        </w:rPr>
        <w:t xml:space="preserve"> prévia ao exame da documentação de habilitação do fornecedor detentor da proposta classificada em primeiro lugar, será verificado o eventual descumprimento das condições de participação, especialmente quanto à existência de sanção que impeça a participação no certame ou a futura contratação, mediante a consulta aos seguintes cadastros:  </w:t>
      </w:r>
    </w:p>
    <w:p>
      <w:pPr>
        <w:pStyle w:val="ListParagraph"/>
        <w:spacing w:lineRule="auto" w:line="276" w:before="113" w:after="113"/>
        <w:ind w:left="1134" w:hanging="0"/>
        <w:contextualSpacing/>
        <w:jc w:val="both"/>
        <w:rPr>
          <w:rFonts w:ascii="Calibri" w:hAnsi="Calibri"/>
          <w:i w:val="false"/>
          <w:i w:val="false"/>
          <w:iCs w:val="false"/>
        </w:rPr>
      </w:pPr>
      <w:r>
        <w:rPr>
          <w:rFonts w:cs="Arial" w:ascii="Calibri" w:hAnsi="Calibri"/>
          <w:i w:val="false"/>
          <w:iCs w:val="false"/>
          <w:sz w:val="24"/>
          <w:lang w:eastAsia="ar-SA"/>
        </w:rPr>
        <w:t xml:space="preserve">a) SICAF;  </w:t>
      </w:r>
    </w:p>
    <w:p>
      <w:pPr>
        <w:pStyle w:val="ListParagraph"/>
        <w:spacing w:lineRule="auto" w:line="276" w:before="113" w:after="113"/>
        <w:ind w:left="1134" w:hanging="0"/>
        <w:contextualSpacing/>
        <w:jc w:val="both"/>
        <w:rPr/>
      </w:pPr>
      <w:r>
        <w:rPr>
          <w:rFonts w:cs="Arial" w:ascii="Calibri" w:hAnsi="Calibri"/>
          <w:i w:val="false"/>
          <w:iCs w:val="false"/>
          <w:sz w:val="24"/>
          <w:lang w:eastAsia="ar-SA"/>
        </w:rPr>
        <w:t>b) Cadastro Nacional de Empresas Inidôneas e Suspensas - CEIS, mantido pela Controladoria-Geral da União (</w:t>
      </w:r>
      <w:hyperlink r:id="rId6">
        <w:r>
          <w:rPr>
            <w:rStyle w:val="LinkdaInternet"/>
            <w:rFonts w:eastAsia="Calibri" w:cs="Arial" w:ascii="Calibri" w:hAnsi="Calibri"/>
            <w:i w:val="false"/>
            <w:iCs w:val="false"/>
            <w:sz w:val="24"/>
            <w:lang w:eastAsia="ar-SA"/>
          </w:rPr>
          <w:t>www.portaldatransparencia.gov.br/ceis</w:t>
        </w:r>
      </w:hyperlink>
      <w:r>
        <w:rPr>
          <w:rFonts w:cs="Arial" w:ascii="Calibri" w:hAnsi="Calibri"/>
          <w:i w:val="false"/>
          <w:iCs w:val="false"/>
          <w:sz w:val="24"/>
          <w:lang w:eastAsia="ar-SA"/>
        </w:rPr>
        <w:t xml:space="preserve">);  </w:t>
      </w:r>
    </w:p>
    <w:p>
      <w:pPr>
        <w:pStyle w:val="ListParagraph"/>
        <w:spacing w:lineRule="auto" w:line="276" w:before="113" w:after="113"/>
        <w:ind w:left="1134" w:hanging="0"/>
        <w:contextualSpacing/>
        <w:jc w:val="both"/>
        <w:rPr/>
      </w:pPr>
      <w:r>
        <w:rPr>
          <w:rFonts w:cs="Arial" w:ascii="Calibri" w:hAnsi="Calibri"/>
          <w:i w:val="false"/>
          <w:iCs w:val="false"/>
          <w:sz w:val="24"/>
          <w:lang w:eastAsia="ar-SA"/>
        </w:rPr>
        <w:t>c) Cadastro Nacional de Condenações Cíveis por Atos de Improbidade Administrativa, mantido pelo Conselho Nacional de Justiça (</w:t>
      </w:r>
      <w:hyperlink r:id="rId7">
        <w:r>
          <w:rPr>
            <w:rStyle w:val="LinkdaInternet"/>
            <w:rFonts w:eastAsia="Calibri" w:cs="Arial" w:ascii="Calibri" w:hAnsi="Calibri"/>
            <w:i w:val="false"/>
            <w:iCs w:val="false"/>
            <w:sz w:val="24"/>
            <w:lang w:eastAsia="ar-SA"/>
          </w:rPr>
          <w:t>www.cnj.jus.br/improbidade_adm/consultar_requerido.php</w:t>
        </w:r>
      </w:hyperlink>
      <w:r>
        <w:rPr>
          <w:rFonts w:cs="Arial" w:ascii="Calibri" w:hAnsi="Calibri"/>
          <w:i w:val="false"/>
          <w:iCs w:val="false"/>
          <w:sz w:val="24"/>
          <w:lang w:eastAsia="ar-SA"/>
        </w:rPr>
        <w:t xml:space="preserve">).  </w:t>
      </w:r>
    </w:p>
    <w:p>
      <w:pPr>
        <w:pStyle w:val="ListParagraph"/>
        <w:spacing w:lineRule="auto" w:line="276" w:before="113" w:after="113"/>
        <w:ind w:left="1134" w:hanging="0"/>
        <w:contextualSpacing/>
        <w:jc w:val="both"/>
        <w:rPr>
          <w:rFonts w:ascii="Calibri" w:hAnsi="Calibri"/>
          <w:i w:val="false"/>
          <w:i w:val="false"/>
          <w:iCs w:val="false"/>
        </w:rPr>
      </w:pPr>
      <w:r>
        <w:rPr>
          <w:rFonts w:cs="Arial" w:ascii="Calibri" w:hAnsi="Calibri"/>
          <w:i w:val="false"/>
          <w:iCs w:val="false"/>
          <w:sz w:val="24"/>
          <w:lang w:eastAsia="ar-SA"/>
        </w:rPr>
        <w:t xml:space="preserve">d) Lista de Inidôneos mantida pelo Tribunal de Contas da União - TCU; </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sz w:val="24"/>
          <w:lang w:eastAsia="ar-SA"/>
        </w:rPr>
        <w:t xml:space="preserve">6.2.1. Para a consulta de </w:t>
      </w:r>
      <w:r>
        <w:rPr>
          <w:rFonts w:cs="Arial" w:ascii="Calibri" w:hAnsi="Calibri"/>
          <w:i w:val="false"/>
          <w:iCs w:val="false"/>
          <w:color w:val="000000" w:themeColor="text1"/>
          <w:sz w:val="24"/>
        </w:rPr>
        <w:t>fornecedores</w:t>
      </w:r>
      <w:r>
        <w:rPr>
          <w:rFonts w:cs="Arial" w:ascii="Calibri" w:hAnsi="Calibri"/>
          <w:i w:val="false"/>
          <w:iCs w:val="false"/>
          <w:sz w:val="24"/>
          <w:lang w:eastAsia="ar-SA"/>
        </w:rPr>
        <w:t xml:space="preserve"> pessoa jurídica poderá haver a substituição das consultas das alíneas “b”, “c” e “d” acima pela Consulta Consolidada de Pessoa Jurídica do TCU (https://certidoesapf.apps.tcu.gov.br/)</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themeColor="text1"/>
          <w:sz w:val="24"/>
        </w:rPr>
        <w:t xml:space="preserve">6.2.2. A consulta aos </w:t>
      </w:r>
      <w:r>
        <w:rPr>
          <w:rFonts w:cs="Arial" w:ascii="Calibri" w:hAnsi="Calibri"/>
          <w:i w:val="false"/>
          <w:iCs w:val="false"/>
          <w:sz w:val="24"/>
          <w:lang w:eastAsia="ar-SA"/>
        </w:rPr>
        <w:t>cadastros</w:t>
      </w:r>
      <w:r>
        <w:rPr>
          <w:rFonts w:cs="Arial" w:ascii="Calibri" w:hAnsi="Calibri"/>
          <w:i w:val="false"/>
          <w:iCs w:val="false"/>
          <w:color w:val="000000" w:themeColor="text1"/>
          <w:sz w:val="24"/>
        </w:rPr>
        <w:t xml:space="preserve"> será realizada em nome da empresa fornecedora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pPr>
        <w:pStyle w:val="ListParagraph"/>
        <w:numPr>
          <w:ilvl w:val="0"/>
          <w:numId w:val="0"/>
        </w:numPr>
        <w:spacing w:lineRule="auto" w:line="276" w:before="113" w:after="113"/>
        <w:ind w:left="2448" w:hanging="0"/>
        <w:contextualSpacing/>
        <w:jc w:val="both"/>
        <w:rPr>
          <w:rFonts w:ascii="Calibri" w:hAnsi="Calibri"/>
          <w:i w:val="false"/>
          <w:i w:val="false"/>
          <w:iCs w:val="false"/>
        </w:rPr>
      </w:pPr>
      <w:r>
        <w:rPr>
          <w:rFonts w:cs="Arial" w:ascii="Calibri" w:hAnsi="Calibri"/>
          <w:i w:val="false"/>
          <w:iCs w:val="false"/>
          <w:color w:val="000000" w:themeColor="text1"/>
          <w:sz w:val="24"/>
        </w:rPr>
        <w:t>6.2.2.1. Caso conste na Consulta de Situação do Fornecedor a existência de Ocorrências Impeditivas Indiretas, o gestor diligenciará para verificar se houve fraude por parte das empresas apontadas no Relatório de Ocorrências Impeditivas Indiretas.</w:t>
      </w:r>
    </w:p>
    <w:p>
      <w:pPr>
        <w:pStyle w:val="ListParagraph"/>
        <w:numPr>
          <w:ilvl w:val="0"/>
          <w:numId w:val="0"/>
        </w:numPr>
        <w:spacing w:lineRule="auto" w:line="276" w:before="113" w:after="113"/>
        <w:ind w:left="2952" w:hanging="0"/>
        <w:contextualSpacing/>
        <w:jc w:val="both"/>
        <w:rPr>
          <w:rFonts w:ascii="Calibri" w:hAnsi="Calibri"/>
          <w:i w:val="false"/>
          <w:i w:val="false"/>
          <w:iCs w:val="false"/>
        </w:rPr>
      </w:pPr>
      <w:r>
        <w:rPr>
          <w:rFonts w:cs="Arial" w:ascii="Calibri" w:hAnsi="Calibri"/>
          <w:i w:val="false"/>
          <w:iCs w:val="false"/>
          <w:color w:val="000000" w:themeColor="text1"/>
          <w:sz w:val="24"/>
        </w:rPr>
        <w:t>6.2.2.1.1. A tentativa de burla será verificada por meio dos vínculos societários, linhas de fornecimento similares, dentre outros.</w:t>
      </w:r>
    </w:p>
    <w:p>
      <w:pPr>
        <w:pStyle w:val="ListParagraph"/>
        <w:numPr>
          <w:ilvl w:val="0"/>
          <w:numId w:val="0"/>
        </w:numPr>
        <w:spacing w:lineRule="auto" w:line="276" w:before="113" w:after="113"/>
        <w:ind w:left="2952" w:hanging="0"/>
        <w:contextualSpacing/>
        <w:jc w:val="both"/>
        <w:rPr>
          <w:rFonts w:ascii="Calibri" w:hAnsi="Calibri"/>
          <w:i w:val="false"/>
          <w:i w:val="false"/>
          <w:iCs w:val="false"/>
        </w:rPr>
      </w:pPr>
      <w:r>
        <w:rPr>
          <w:rFonts w:cs="Arial" w:ascii="Calibri" w:hAnsi="Calibri"/>
          <w:i w:val="false"/>
          <w:iCs w:val="false"/>
          <w:color w:val="000000" w:themeColor="text1"/>
          <w:sz w:val="24"/>
        </w:rPr>
        <w:t>6.2.2.1.2. O fornecedor será convocado para manifestação previamente à sua desclassificação</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themeColor="text1"/>
          <w:sz w:val="24"/>
        </w:rPr>
        <w:t>6.2.3. Constatada a existência de sanção, o fornecedor será reputado inabilitado, por falta de condição de participação.</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color w:val="000000" w:themeColor="text1"/>
          <w:sz w:val="24"/>
        </w:rPr>
        <w:t xml:space="preserve">6.3. Caso atendidas as condições de participação, </w:t>
      </w:r>
      <w:r>
        <w:rPr>
          <w:rFonts w:cs="Arial" w:ascii="Calibri" w:hAnsi="Calibri"/>
          <w:i w:val="false"/>
          <w:iCs w:val="false"/>
          <w:sz w:val="24"/>
        </w:rPr>
        <w:t>a habilitação dos fornecedores será verificada por meio do SICAF, nos documentos por ele abrangidos</w:t>
      </w:r>
      <w:r>
        <w:rPr>
          <w:rFonts w:cs="Arial" w:ascii="Calibri" w:hAnsi="Calibri"/>
          <w:i w:val="false"/>
          <w:iCs w:val="false"/>
          <w:color w:val="000000" w:themeColor="text1"/>
          <w:sz w:val="24"/>
        </w:rPr>
        <w:t>.</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themeColor="text1"/>
          <w:sz w:val="24"/>
        </w:rPr>
        <w:t>6.3.1. É dever do fornecedor atualizar previamente as comprovações constantes do SICAF para que estejam vigentes na data da abertura da sessão pública, ou encaminhar, quando solicitado, a respectiva documentação atualizada.</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themeColor="text1"/>
          <w:sz w:val="24"/>
        </w:rPr>
        <w:t>6.3.2. O descumprimento do subitem acima implicará a inabilitação do fornecedor, exceto se a consulta aos sítios eletrônicos oficiais emissores de certidões lograr êxito em encontrar a(s) certidão(ões) válida(s).</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color w:val="000000" w:themeColor="text1"/>
          <w:sz w:val="24"/>
        </w:rPr>
        <w:t>6.4. Havendo a necessidade de envio de documentos de habilitação complementares, necessários à confirmação daqueles exigidos neste Aviso de Contratação Direta e já apresentados, o fornecedor será convocado a encaminhá-los, em formato digital, após solicitação da Administração, sob pena de inabilitação.</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color w:val="000000" w:themeColor="text1"/>
          <w:sz w:val="24"/>
        </w:rPr>
        <w:t>6.5. Somente haverá a necessidade de comprovação do preenchimento de requisitos mediante apresentação dos documentos originais não-digitais quando houver dúvida em relação à integridade do documento digital.</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bCs/>
          <w:i w:val="false"/>
          <w:iCs w:val="false"/>
          <w:sz w:val="24"/>
        </w:rPr>
        <w:t>6.6. O fornecedor enquadrado como microempreendedor individual que pretenda auferir os benefícios do tratamento diferenciado previstos na Lei Complementar n. 123, de 2006, estará dispensado (a) da prova de inscrição nos cadastros de contribuintes estadual e municipal e (b) da apresentação do balanço patrimonial e das demonstrações contábeis do último exercício.</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bCs/>
          <w:i w:val="false"/>
          <w:iCs w:val="false"/>
          <w:sz w:val="24"/>
        </w:rPr>
        <w:t xml:space="preserve">6.7. Havendo </w:t>
      </w:r>
      <w:r>
        <w:rPr>
          <w:rFonts w:cs="Arial" w:ascii="Calibri" w:hAnsi="Calibri"/>
          <w:i w:val="false"/>
          <w:iCs w:val="false"/>
          <w:sz w:val="24"/>
          <w:lang w:eastAsia="en-US"/>
        </w:rPr>
        <w:t>necessidade</w:t>
      </w:r>
      <w:r>
        <w:rPr>
          <w:rFonts w:cs="Arial" w:ascii="Calibri" w:hAnsi="Calibri"/>
          <w:bCs/>
          <w:i w:val="false"/>
          <w:iCs w:val="false"/>
          <w:sz w:val="24"/>
        </w:rPr>
        <w:t xml:space="preserve"> de analisar minuciosamente os documentos exigidos, a sessão será suspensa, sendo informada a nova data e horário para a sua continuidade.</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color w:val="000000"/>
          <w:sz w:val="24"/>
        </w:rPr>
        <w:t xml:space="preserve">6.8. Será inabilitado o fornecedor que não comprovar sua habilitação, seja por não apresentar </w:t>
      </w:r>
      <w:r>
        <w:rPr>
          <w:rFonts w:cs="Arial" w:ascii="Calibri" w:hAnsi="Calibri"/>
          <w:i w:val="false"/>
          <w:iCs w:val="false"/>
          <w:sz w:val="24"/>
          <w:lang w:eastAsia="en-US"/>
        </w:rPr>
        <w:t>quaisquer</w:t>
      </w:r>
      <w:r>
        <w:rPr>
          <w:rFonts w:cs="Arial" w:ascii="Calibri" w:hAnsi="Calibri"/>
          <w:i w:val="false"/>
          <w:iCs w:val="false"/>
          <w:color w:val="000000"/>
          <w:sz w:val="24"/>
        </w:rPr>
        <w:t xml:space="preserve"> dos </w:t>
      </w:r>
      <w:r>
        <w:rPr>
          <w:rFonts w:cs="Arial" w:ascii="Calibri" w:hAnsi="Calibri"/>
          <w:bCs/>
          <w:i w:val="false"/>
          <w:iCs w:val="false"/>
          <w:sz w:val="24"/>
        </w:rPr>
        <w:t>documentos</w:t>
      </w:r>
      <w:r>
        <w:rPr>
          <w:rFonts w:cs="Arial" w:ascii="Calibri" w:hAnsi="Calibri"/>
          <w:i w:val="false"/>
          <w:iCs w:val="false"/>
          <w:color w:val="000000"/>
          <w:sz w:val="24"/>
        </w:rPr>
        <w:t xml:space="preserve"> exigidos, ou apresentá-los em desacordo com o estabelecido neste Aviso de Contratação Direta.</w:t>
      </w:r>
    </w:p>
    <w:p>
      <w:pPr>
        <w:pStyle w:val="ListParagraph"/>
        <w:numPr>
          <w:ilvl w:val="0"/>
          <w:numId w:val="0"/>
        </w:numPr>
        <w:spacing w:lineRule="auto" w:line="276" w:before="113" w:after="113"/>
        <w:ind w:left="1944" w:hanging="0"/>
        <w:contextualSpacing/>
        <w:jc w:val="both"/>
        <w:rPr>
          <w:rFonts w:ascii="Calibri" w:hAnsi="Calibri"/>
          <w:i w:val="false"/>
          <w:i w:val="false"/>
          <w:iCs w:val="false"/>
        </w:rPr>
      </w:pPr>
      <w:r>
        <w:rPr>
          <w:rFonts w:cs="Arial" w:ascii="Calibri" w:hAnsi="Calibri"/>
          <w:i w:val="false"/>
          <w:iCs w:val="false"/>
          <w:color w:val="000000"/>
          <w:sz w:val="24"/>
        </w:rPr>
        <w:t>6.8.1. 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pPr>
        <w:pStyle w:val="ListParagraph"/>
        <w:widowControl/>
        <w:numPr>
          <w:ilvl w:val="0"/>
          <w:numId w:val="0"/>
        </w:numPr>
        <w:suppressAutoHyphens w:val="true"/>
        <w:bidi w:val="0"/>
        <w:spacing w:lineRule="auto" w:line="276" w:before="113" w:after="113"/>
        <w:ind w:left="624" w:right="0" w:hanging="0"/>
        <w:contextualSpacing/>
        <w:jc w:val="both"/>
        <w:rPr>
          <w:rFonts w:ascii="Calibri" w:hAnsi="Calibri"/>
          <w:i w:val="false"/>
          <w:i w:val="false"/>
          <w:iCs w:val="false"/>
        </w:rPr>
      </w:pPr>
      <w:r>
        <w:rPr>
          <w:rFonts w:cs="Arial" w:ascii="Calibri" w:hAnsi="Calibri"/>
          <w:i w:val="false"/>
          <w:iCs w:val="false"/>
          <w:sz w:val="24"/>
          <w:lang w:eastAsia="en-US"/>
        </w:rPr>
        <w:t>6.9. Constatado o atendimento às exigências de habilitação, o fornecedor será habilitado</w:t>
      </w:r>
    </w:p>
    <w:p>
      <w:pPr>
        <w:pStyle w:val="Ttulo1"/>
        <w:numPr>
          <w:ilvl w:val="0"/>
          <w:numId w:val="0"/>
        </w:numPr>
        <w:ind w:left="360" w:hanging="0"/>
        <w:rPr>
          <w:rFonts w:ascii="Calibri" w:hAnsi="Calibri"/>
          <w:b/>
          <w:b/>
          <w:bCs/>
          <w:i w:val="false"/>
          <w:i w:val="false"/>
          <w:iCs w:val="false"/>
        </w:rPr>
      </w:pPr>
      <w:r>
        <w:rPr>
          <w:rFonts w:cs="Arial" w:ascii="Calibri" w:hAnsi="Calibri"/>
          <w:b/>
          <w:bCs/>
          <w:i w:val="false"/>
          <w:iCs w:val="false"/>
          <w:color w:val="auto"/>
          <w:sz w:val="24"/>
          <w:szCs w:val="24"/>
        </w:rPr>
        <w:t xml:space="preserve">7. </w:t>
      </w:r>
      <w:bookmarkStart w:id="8" w:name="_Toc104906824"/>
      <w:r>
        <w:rPr>
          <w:rFonts w:cs="Arial" w:ascii="Calibri" w:hAnsi="Calibri"/>
          <w:b/>
          <w:bCs/>
          <w:i w:val="false"/>
          <w:iCs w:val="false"/>
          <w:color w:val="auto"/>
          <w:sz w:val="24"/>
          <w:szCs w:val="24"/>
        </w:rPr>
        <w:t>CONTRATAÇÃO</w:t>
      </w:r>
      <w:bookmarkEnd w:id="8"/>
    </w:p>
    <w:p>
      <w:pPr>
        <w:pStyle w:val="Normal"/>
        <w:widowControl/>
        <w:numPr>
          <w:ilvl w:val="0"/>
          <w:numId w:val="0"/>
        </w:numPr>
        <w:suppressAutoHyphens w:val="true"/>
        <w:bidi w:val="0"/>
        <w:spacing w:lineRule="auto" w:line="276" w:before="120" w:after="120"/>
        <w:ind w:left="624" w:right="0" w:hanging="0"/>
        <w:jc w:val="both"/>
        <w:rPr>
          <w:rFonts w:ascii="Calibri" w:hAnsi="Calibri"/>
          <w:i w:val="false"/>
          <w:i w:val="false"/>
          <w:iCs w:val="false"/>
        </w:rPr>
      </w:pPr>
      <w:r>
        <w:rPr>
          <w:rFonts w:eastAsia="Arial" w:cs="Arial" w:ascii="Calibri" w:hAnsi="Calibri"/>
          <w:i w:val="false"/>
          <w:iCs w:val="false"/>
          <w:color w:val="000000"/>
          <w:sz w:val="24"/>
        </w:rPr>
        <w:t>7.1. Após a homologação e adjudicação, caso se conclua pela contratação, será emitido empenho .</w:t>
      </w:r>
    </w:p>
    <w:p>
      <w:pPr>
        <w:pStyle w:val="Normal"/>
        <w:widowControl/>
        <w:numPr>
          <w:ilvl w:val="0"/>
          <w:numId w:val="0"/>
        </w:numPr>
        <w:suppressAutoHyphens w:val="true"/>
        <w:bidi w:val="0"/>
        <w:spacing w:lineRule="auto" w:line="276" w:before="120" w:after="120"/>
        <w:ind w:left="680" w:right="0" w:hanging="0"/>
        <w:jc w:val="both"/>
        <w:rPr>
          <w:rFonts w:ascii="Calibri" w:hAnsi="Calibri"/>
          <w:i w:val="false"/>
          <w:i w:val="false"/>
          <w:iCs w:val="false"/>
          <w:color w:val="000000"/>
        </w:rPr>
      </w:pPr>
      <w:r>
        <w:rPr>
          <w:rFonts w:eastAsia="Arial" w:cs="Arial" w:ascii="Calibri" w:hAnsi="Calibri"/>
          <w:i w:val="false"/>
          <w:iCs w:val="false"/>
          <w:color w:val="000000"/>
          <w:sz w:val="24"/>
        </w:rPr>
        <w:t xml:space="preserve">7.2. O adjudicatário terá o prazo de </w:t>
      </w:r>
      <w:r>
        <w:rPr>
          <w:rFonts w:eastAsia="Arial" w:cs="Arial" w:ascii="Calibri" w:hAnsi="Calibri"/>
          <w:i w:val="false"/>
          <w:iCs w:val="false"/>
          <w:color w:val="000000"/>
          <w:sz w:val="24"/>
          <w:szCs w:val="24"/>
          <w:lang w:eastAsia="pt-BR"/>
        </w:rPr>
        <w:t xml:space="preserve">5 </w:t>
      </w:r>
      <w:r>
        <w:rPr>
          <w:rFonts w:eastAsia="Arial" w:cs="Arial" w:ascii="Calibri" w:hAnsi="Calibri"/>
          <w:i w:val="false"/>
          <w:iCs w:val="false"/>
          <w:color w:val="000000"/>
          <w:sz w:val="24"/>
        </w:rPr>
        <w:t>(</w:t>
      </w:r>
      <w:r>
        <w:rPr>
          <w:rFonts w:eastAsia="Arial" w:cs="Arial" w:ascii="Calibri" w:hAnsi="Calibri"/>
          <w:i w:val="false"/>
          <w:iCs w:val="false"/>
          <w:color w:val="000000"/>
          <w:sz w:val="24"/>
          <w:szCs w:val="24"/>
          <w:lang w:eastAsia="pt-BR"/>
        </w:rPr>
        <w:t>cinco</w:t>
      </w:r>
      <w:r>
        <w:rPr>
          <w:rFonts w:eastAsia="Arial" w:cs="Arial" w:ascii="Calibri" w:hAnsi="Calibri"/>
          <w:i w:val="false"/>
          <w:iCs w:val="false"/>
          <w:color w:val="000000"/>
          <w:sz w:val="24"/>
        </w:rPr>
        <w:t xml:space="preserve">) dias úteis, contados a partir da data de sua convocação, para aceitar Nota de Empenho, sob pena de decair do direito à contratação, sem prejuízo das sanções previstas neste Aviso de Contratação Direta. </w:t>
      </w:r>
    </w:p>
    <w:p>
      <w:pPr>
        <w:pStyle w:val="Normal"/>
        <w:numPr>
          <w:ilvl w:val="0"/>
          <w:numId w:val="0"/>
        </w:numPr>
        <w:spacing w:lineRule="auto" w:line="276" w:before="120" w:after="120"/>
        <w:ind w:left="1224" w:hanging="0"/>
        <w:jc w:val="both"/>
        <w:rPr>
          <w:rFonts w:ascii="Calibri" w:hAnsi="Calibri"/>
          <w:i w:val="false"/>
          <w:i w:val="false"/>
          <w:iCs w:val="false"/>
        </w:rPr>
      </w:pPr>
      <w:r>
        <w:rPr>
          <w:rFonts w:eastAsia="Arial" w:cs="Arial" w:ascii="Calibri" w:hAnsi="Calibri"/>
          <w:i w:val="false"/>
          <w:iCs w:val="false"/>
          <w:color w:val="000000"/>
          <w:sz w:val="24"/>
        </w:rPr>
        <w:t xml:space="preserve">7.2.1. O prazo previsto PARA aceitação da nota de empenho poderá ser prorrogado </w:t>
      </w:r>
      <w:r>
        <w:rPr>
          <w:rFonts w:cs="Arial" w:ascii="Calibri" w:hAnsi="Calibri"/>
          <w:bCs/>
          <w:i w:val="false"/>
          <w:iCs w:val="false"/>
          <w:sz w:val="24"/>
        </w:rPr>
        <w:t>1 (uma) vez</w:t>
      </w:r>
      <w:r>
        <w:rPr>
          <w:rFonts w:eastAsia="Arial" w:cs="Arial" w:ascii="Calibri" w:hAnsi="Calibri"/>
          <w:i w:val="false"/>
          <w:iCs w:val="false"/>
          <w:sz w:val="24"/>
        </w:rPr>
        <w:t xml:space="preserve">, </w:t>
      </w:r>
      <w:r>
        <w:rPr>
          <w:rFonts w:eastAsia="Arial" w:cs="Arial" w:ascii="Calibri" w:hAnsi="Calibri"/>
          <w:i w:val="false"/>
          <w:iCs w:val="false"/>
          <w:color w:val="000000"/>
          <w:sz w:val="24"/>
        </w:rPr>
        <w:t>por igual período, por solicitação justificada do adjudicatário e aceita pela Administração.</w:t>
      </w:r>
    </w:p>
    <w:p>
      <w:pPr>
        <w:pStyle w:val="Normal"/>
        <w:widowControl/>
        <w:numPr>
          <w:ilvl w:val="0"/>
          <w:numId w:val="0"/>
        </w:numPr>
        <w:suppressAutoHyphens w:val="true"/>
        <w:bidi w:val="0"/>
        <w:spacing w:lineRule="auto" w:line="276" w:before="120" w:after="120"/>
        <w:ind w:left="624" w:right="0" w:hanging="0"/>
        <w:jc w:val="both"/>
        <w:rPr>
          <w:rFonts w:ascii="Calibri" w:hAnsi="Calibri"/>
          <w:i w:val="false"/>
          <w:i w:val="false"/>
          <w:iCs w:val="false"/>
          <w:color w:val="000000"/>
        </w:rPr>
      </w:pPr>
      <w:r>
        <w:rPr>
          <w:rFonts w:eastAsia="Arial" w:cs="Arial" w:ascii="Calibri" w:hAnsi="Calibri"/>
          <w:i w:val="false"/>
          <w:iCs w:val="false"/>
          <w:color w:val="000000"/>
          <w:sz w:val="24"/>
        </w:rPr>
        <w:t>7.3. O Aceite da Nota de Empenho ou do instrumento equivalente, emitida à empresa adjudicada, implica no reconhecimento de que:</w:t>
      </w:r>
    </w:p>
    <w:p>
      <w:pPr>
        <w:pStyle w:val="Normal"/>
        <w:numPr>
          <w:ilvl w:val="0"/>
          <w:numId w:val="0"/>
        </w:numPr>
        <w:spacing w:lineRule="auto" w:line="276" w:before="120" w:after="120"/>
        <w:ind w:left="1224" w:hanging="0"/>
        <w:jc w:val="both"/>
        <w:rPr>
          <w:rFonts w:ascii="Calibri" w:hAnsi="Calibri"/>
          <w:i w:val="false"/>
          <w:i w:val="false"/>
          <w:iCs w:val="false"/>
          <w:color w:val="000000"/>
        </w:rPr>
      </w:pPr>
      <w:r>
        <w:rPr>
          <w:rFonts w:eastAsia="Arial" w:cs="Arial" w:ascii="Calibri" w:hAnsi="Calibri"/>
          <w:i w:val="false"/>
          <w:iCs w:val="false"/>
          <w:color w:val="000000"/>
          <w:sz w:val="24"/>
        </w:rPr>
        <w:t>7.3.1. referida Nota está substituindo o contrato, aplicando-se à relação de negócios ali estabelecida as disposições da Lei nº 14.133, de 2021;</w:t>
      </w:r>
    </w:p>
    <w:p>
      <w:pPr>
        <w:pStyle w:val="Normal"/>
        <w:numPr>
          <w:ilvl w:val="0"/>
          <w:numId w:val="0"/>
        </w:numPr>
        <w:spacing w:lineRule="auto" w:line="276" w:before="120" w:after="120"/>
        <w:ind w:left="1224" w:hanging="0"/>
        <w:jc w:val="both"/>
        <w:rPr>
          <w:rFonts w:ascii="Calibri" w:hAnsi="Calibri"/>
          <w:i w:val="false"/>
          <w:i w:val="false"/>
          <w:iCs w:val="false"/>
          <w:color w:val="000000"/>
        </w:rPr>
      </w:pPr>
      <w:r>
        <w:rPr>
          <w:rFonts w:eastAsia="Arial" w:cs="Arial" w:ascii="Calibri" w:hAnsi="Calibri"/>
          <w:i w:val="false"/>
          <w:iCs w:val="false"/>
          <w:color w:val="000000"/>
          <w:sz w:val="24"/>
        </w:rPr>
        <w:t>7.3.2. a contratada se vincula à sua proposta e às previsões contidas no Aviso de Contratação Direta e seus anexos;</w:t>
      </w:r>
    </w:p>
    <w:p>
      <w:pPr>
        <w:pStyle w:val="Normal"/>
        <w:numPr>
          <w:ilvl w:val="0"/>
          <w:numId w:val="0"/>
        </w:numPr>
        <w:spacing w:lineRule="auto" w:line="276" w:before="120" w:after="120"/>
        <w:ind w:left="1224" w:hanging="0"/>
        <w:jc w:val="both"/>
        <w:rPr>
          <w:rFonts w:ascii="Calibri" w:hAnsi="Calibri"/>
          <w:i w:val="false"/>
          <w:i w:val="false"/>
          <w:iCs w:val="false"/>
          <w:color w:val="000000"/>
        </w:rPr>
      </w:pPr>
      <w:r>
        <w:rPr>
          <w:rFonts w:eastAsia="Arial" w:cs="Arial" w:ascii="Calibri" w:hAnsi="Calibri"/>
          <w:i w:val="false"/>
          <w:iCs w:val="false"/>
          <w:color w:val="000000"/>
          <w:sz w:val="24"/>
        </w:rPr>
        <w:t>7.3.3. a contratada reconhece que as hipóteses de rescisão são aquelas previstas nos artigos 137 e 138 da Lei nº 14.133/21 e reconhece os direitos da Administração previstos nos artigos 137 a 139 da mesma Lei.</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eastAsia="Arial" w:cs="Arial" w:ascii="Calibri" w:hAnsi="Calibri"/>
          <w:i w:val="false"/>
          <w:iCs w:val="false"/>
          <w:color w:val="000000"/>
          <w:sz w:val="24"/>
        </w:rPr>
        <w:t xml:space="preserve">7.4. O prazo de vigência da contratação é de </w:t>
      </w:r>
      <w:r>
        <w:rPr>
          <w:rFonts w:eastAsia="Arial" w:cs="Arial" w:ascii="Calibri" w:hAnsi="Calibri"/>
          <w:i w:val="false"/>
          <w:iCs w:val="false"/>
          <w:color w:val="000000"/>
          <w:sz w:val="24"/>
          <w:szCs w:val="24"/>
          <w:lang w:eastAsia="pt-BR"/>
        </w:rPr>
        <w:t>12 (meses)</w:t>
      </w:r>
      <w:r>
        <w:rPr>
          <w:rFonts w:eastAsia="Arial" w:cs="Arial" w:ascii="Calibri" w:hAnsi="Calibri"/>
          <w:i w:val="false"/>
          <w:iCs w:val="false"/>
          <w:color w:val="000000"/>
          <w:sz w:val="24"/>
        </w:rPr>
        <w:t xml:space="preserve"> não prorrogável conforme previsão nos anexos a este Aviso de Contratação Direta. </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color w:val="000000"/>
          <w:sz w:val="24"/>
        </w:rPr>
        <w:t>7.5. Na assinatura do contrato ou do instrumento equivalente será exigida a comprovação das condições de habilitação e contratação consignadas neste aviso, que deverão ser mantidas pelo fornecedor durante a vigência do contrato.</w:t>
      </w:r>
    </w:p>
    <w:p>
      <w:pPr>
        <w:pStyle w:val="Ttulo1"/>
        <w:numPr>
          <w:ilvl w:val="0"/>
          <w:numId w:val="0"/>
        </w:numPr>
        <w:ind w:left="360" w:hanging="0"/>
        <w:rPr>
          <w:rFonts w:ascii="Calibri" w:hAnsi="Calibri"/>
          <w:b/>
          <w:b/>
          <w:bCs/>
          <w:i w:val="false"/>
          <w:i w:val="false"/>
          <w:iCs w:val="false"/>
        </w:rPr>
      </w:pPr>
      <w:r>
        <w:rPr>
          <w:rFonts w:cs="Arial" w:ascii="Calibri" w:hAnsi="Calibri"/>
          <w:b/>
          <w:bCs/>
          <w:i w:val="false"/>
          <w:iCs w:val="false"/>
          <w:color w:val="auto"/>
          <w:sz w:val="24"/>
          <w:szCs w:val="24"/>
        </w:rPr>
        <w:t xml:space="preserve">8. </w:t>
      </w:r>
      <w:bookmarkStart w:id="9" w:name="_Toc104906825"/>
      <w:r>
        <w:rPr>
          <w:rFonts w:cs="Arial" w:ascii="Calibri" w:hAnsi="Calibri"/>
          <w:b/>
          <w:bCs/>
          <w:i w:val="false"/>
          <w:iCs w:val="false"/>
          <w:color w:val="auto"/>
          <w:sz w:val="24"/>
          <w:szCs w:val="24"/>
        </w:rPr>
        <w:t>SANÇÕES</w:t>
      </w:r>
      <w:bookmarkEnd w:id="9"/>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sz w:val="24"/>
        </w:rPr>
        <w:t xml:space="preserve">8.1. Comete infração administrativa o fornecedor que cometer quaisquer das infrações previstas no art. 155 da Lei nº 14.133, de 2021, quais sejam: </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8.1.1. dar causa à inexecução parcial do contrato</w:t>
      </w:r>
      <w:r>
        <w:rPr>
          <w:rFonts w:cs="Arial" w:ascii="Calibri" w:hAnsi="Calibri"/>
          <w:i w:val="false"/>
          <w:iCs w:val="false"/>
          <w:sz w:val="24"/>
        </w:rPr>
        <w:t>;</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8.1.2. dar causa à inexecução parcial do contrato que cause grave dano à Administração, ao funcionamento dos serviços públicos ou ao interesse coletivo;</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8.1.3. dar causa à inexecução total do contrato;</w:t>
      </w:r>
    </w:p>
    <w:p>
      <w:pPr>
        <w:pStyle w:val="Normal"/>
        <w:widowControl/>
        <w:numPr>
          <w:ilvl w:val="0"/>
          <w:numId w:val="0"/>
        </w:numPr>
        <w:bidi w:val="0"/>
        <w:spacing w:lineRule="auto" w:line="276" w:before="120" w:after="120"/>
        <w:ind w:left="2471" w:right="0" w:hanging="0"/>
        <w:jc w:val="both"/>
        <w:rPr>
          <w:rFonts w:ascii="Calibri" w:hAnsi="Calibri"/>
          <w:i w:val="false"/>
          <w:i w:val="false"/>
          <w:iCs w:val="false"/>
        </w:rPr>
      </w:pPr>
      <w:r>
        <w:rPr>
          <w:rFonts w:cs="Arial" w:ascii="Calibri" w:hAnsi="Calibri"/>
          <w:i w:val="false"/>
          <w:iCs w:val="false"/>
          <w:color w:val="000000"/>
          <w:sz w:val="24"/>
        </w:rPr>
        <w:t>8.1.4. deixar de entregar a documentação exigida para o certame;</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8.1.5. não manter a proposta, salvo em decorrência de fato superveniente devidamente justificado;</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8.1.6. não celebrar o contrato ou não entregar a documentação exigida para a contratação, quando convocado dentro do prazo de validade de sua proposta;</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8.1.7. ensejar o retardamento da execução ou da entrega do objeto da licitação sem motivo justificado;</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8.1.8. apresentar declaração ou documentação falsa exigida para o certame ou prestar declaração falsa durante a dispensa eletrônica ou a execução do contrato;</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8.1.9. fraudar a dispensa eletrônica ou praticar ato fraudulento na execução do contrato;</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8.1.10. comportar-se de modo inidôneo ou cometer fraude de qualquer natureza;</w:t>
      </w:r>
    </w:p>
    <w:p>
      <w:pPr>
        <w:pStyle w:val="ListParagraph"/>
        <w:numPr>
          <w:ilvl w:val="0"/>
          <w:numId w:val="0"/>
        </w:numPr>
        <w:spacing w:lineRule="auto" w:line="276" w:before="120" w:after="120"/>
        <w:ind w:left="2448" w:hanging="0"/>
        <w:contextualSpacing/>
        <w:jc w:val="both"/>
        <w:rPr>
          <w:rFonts w:ascii="Calibri" w:hAnsi="Calibri"/>
          <w:i w:val="false"/>
          <w:i w:val="false"/>
          <w:iCs w:val="false"/>
        </w:rPr>
      </w:pPr>
      <w:r>
        <w:rPr>
          <w:rFonts w:cs="Arial" w:ascii="Calibri" w:hAnsi="Calibri"/>
          <w:i w:val="false"/>
          <w:iCs w:val="false"/>
          <w:sz w:val="24"/>
        </w:rPr>
        <w:t>8.10.1. Considera-se comportamento inidôneo, entre outros, a declaração falsa quanto às condições de participação, quanto ao enquadramento como ME/EPP ou o conluio entre os fornecedores, em qualquer momento da dispensa, mesmo após o encerramento da fase de lances.</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8.1.11.praticar atos ilícitos com vistas a frustrar os objetivos deste certame.</w:t>
      </w:r>
    </w:p>
    <w:p>
      <w:pPr>
        <w:pStyle w:val="Normal"/>
        <w:numPr>
          <w:ilvl w:val="0"/>
          <w:numId w:val="0"/>
        </w:numPr>
        <w:spacing w:lineRule="auto" w:line="276" w:before="120" w:after="120"/>
        <w:ind w:left="1224" w:hanging="0"/>
        <w:jc w:val="both"/>
        <w:rPr/>
      </w:pPr>
      <w:r>
        <w:rPr>
          <w:rFonts w:cs="Arial" w:ascii="Calibri" w:hAnsi="Calibri"/>
          <w:i w:val="false"/>
          <w:iCs w:val="false"/>
          <w:color w:val="000000"/>
          <w:sz w:val="24"/>
        </w:rPr>
        <w:t>8.1.12. praticar ato lesivo previsto no </w:t>
      </w:r>
      <w:r>
        <w:fldChar w:fldCharType="begin"/>
      </w:r>
      <w:r>
        <w:rPr>
          <w:sz w:val="24"/>
          <w:i w:val="false"/>
          <w:iCs w:val="false"/>
          <w:rFonts w:cs="Arial" w:ascii="Calibri" w:hAnsi="Calibri"/>
          <w:color w:val="000000"/>
        </w:rPr>
        <w:instrText> HYPERLINK "http://www.planalto.gov.br/ccivil_03/_Ato2011-2014/2013/Lei/L12846.htm" \l "art5"</w:instrText>
      </w:r>
      <w:r>
        <w:rPr>
          <w:sz w:val="24"/>
          <w:i w:val="false"/>
          <w:iCs w:val="false"/>
          <w:rFonts w:cs="Arial" w:ascii="Calibri" w:hAnsi="Calibri"/>
          <w:color w:val="000000"/>
        </w:rPr>
        <w:fldChar w:fldCharType="separate"/>
      </w:r>
      <w:r>
        <w:rPr>
          <w:rFonts w:cs="Arial" w:ascii="Calibri" w:hAnsi="Calibri"/>
          <w:i w:val="false"/>
          <w:iCs w:val="false"/>
          <w:color w:val="000000"/>
          <w:sz w:val="24"/>
        </w:rPr>
        <w:t>art. 5º da Lei nº 12.846, de 1º de agosto de 2013.</w:t>
      </w:r>
      <w:r>
        <w:rPr>
          <w:sz w:val="24"/>
          <w:i w:val="false"/>
          <w:iCs w:val="false"/>
          <w:rFonts w:cs="Arial" w:ascii="Calibri" w:hAnsi="Calibri"/>
          <w:color w:val="000000"/>
        </w:rPr>
        <w:fldChar w:fldCharType="end"/>
      </w:r>
    </w:p>
    <w:p>
      <w:pPr>
        <w:pStyle w:val="Normal"/>
        <w:widowControl/>
        <w:numPr>
          <w:ilvl w:val="0"/>
          <w:numId w:val="0"/>
        </w:numPr>
        <w:suppressAutoHyphens w:val="true"/>
        <w:bidi w:val="0"/>
        <w:spacing w:lineRule="auto" w:line="276" w:before="120" w:after="120"/>
        <w:ind w:left="794" w:right="0" w:hanging="0"/>
        <w:jc w:val="both"/>
        <w:rPr>
          <w:rFonts w:ascii="Calibri" w:hAnsi="Calibri"/>
          <w:i w:val="false"/>
          <w:i w:val="false"/>
          <w:iCs w:val="false"/>
        </w:rPr>
      </w:pPr>
      <w:r>
        <w:rPr>
          <w:rFonts w:cs="Arial" w:ascii="Calibri" w:hAnsi="Calibri"/>
          <w:i w:val="false"/>
          <w:iCs w:val="false"/>
          <w:sz w:val="24"/>
        </w:rPr>
        <w:t>8.2. O fornecedor que cometer qualquer das infrações discriminadas nos subitens anteriores ficará sujeito, sem prejuízo da responsabilidade civil e criminal, às seguintes sanções:</w:t>
      </w:r>
    </w:p>
    <w:p>
      <w:pPr>
        <w:pStyle w:val="Normal"/>
        <w:numPr>
          <w:ilvl w:val="2"/>
          <w:numId w:val="4"/>
        </w:numPr>
        <w:spacing w:lineRule="auto" w:line="276" w:before="120" w:after="120"/>
        <w:jc w:val="both"/>
        <w:rPr>
          <w:rFonts w:ascii="Calibri" w:hAnsi="Calibri"/>
          <w:i w:val="false"/>
          <w:i w:val="false"/>
          <w:iCs w:val="false"/>
        </w:rPr>
      </w:pPr>
      <w:r>
        <w:rPr>
          <w:rFonts w:cs="Arial" w:ascii="Calibri" w:hAnsi="Calibri"/>
          <w:i w:val="false"/>
          <w:iCs w:val="false"/>
          <w:sz w:val="24"/>
        </w:rPr>
        <w:t>Advertência pela falta do subitem 8.1.1 deste Aviso de Contratação Direta, quando não se justificar a imposição de penalidade mais grave;</w:t>
      </w:r>
    </w:p>
    <w:p>
      <w:pPr>
        <w:pStyle w:val="Normal"/>
        <w:numPr>
          <w:ilvl w:val="2"/>
          <w:numId w:val="4"/>
        </w:numPr>
        <w:spacing w:lineRule="auto" w:line="276" w:before="120" w:after="120"/>
        <w:jc w:val="both"/>
        <w:rPr>
          <w:rFonts w:ascii="Calibri" w:hAnsi="Calibri"/>
          <w:i w:val="false"/>
          <w:i w:val="false"/>
          <w:iCs w:val="false"/>
        </w:rPr>
      </w:pPr>
      <w:r>
        <w:rPr>
          <w:rFonts w:cs="Arial" w:ascii="Calibri" w:hAnsi="Calibri"/>
          <w:i w:val="false"/>
          <w:iCs w:val="false"/>
          <w:sz w:val="24"/>
        </w:rPr>
        <w:t>Multa de</w:t>
      </w:r>
      <w:r>
        <w:rPr>
          <w:rFonts w:cs="Arial" w:ascii="Calibri" w:hAnsi="Calibri"/>
          <w:i w:val="false"/>
          <w:iCs w:val="false"/>
          <w:color w:val="000000"/>
          <w:sz w:val="24"/>
        </w:rPr>
        <w:t xml:space="preserve"> </w:t>
      </w:r>
      <w:r>
        <w:rPr>
          <w:rFonts w:eastAsia="Times New Roman" w:cs="Arial" w:ascii="Calibri" w:hAnsi="Calibri"/>
          <w:i w:val="false"/>
          <w:iCs w:val="false"/>
          <w:color w:val="000000"/>
          <w:sz w:val="24"/>
          <w:szCs w:val="24"/>
          <w:lang w:eastAsia="pt-BR"/>
        </w:rPr>
        <w:t>5</w:t>
      </w:r>
      <w:r>
        <w:rPr>
          <w:rFonts w:cs="Arial" w:ascii="Calibri" w:hAnsi="Calibri"/>
          <w:i w:val="false"/>
          <w:iCs w:val="false"/>
          <w:color w:val="000000"/>
          <w:sz w:val="24"/>
        </w:rPr>
        <w:t>% (c</w:t>
      </w:r>
      <w:r>
        <w:rPr>
          <w:rFonts w:eastAsia="Times New Roman" w:cs="Arial" w:ascii="Calibri" w:hAnsi="Calibri"/>
          <w:i w:val="false"/>
          <w:iCs w:val="false"/>
          <w:color w:val="000000"/>
          <w:sz w:val="24"/>
          <w:szCs w:val="24"/>
          <w:lang w:eastAsia="pt-BR"/>
        </w:rPr>
        <w:t>inco</w:t>
      </w:r>
      <w:r>
        <w:rPr>
          <w:rFonts w:cs="Arial" w:ascii="Calibri" w:hAnsi="Calibri"/>
          <w:i w:val="false"/>
          <w:iCs w:val="false"/>
          <w:color w:val="000000"/>
          <w:sz w:val="24"/>
        </w:rPr>
        <w:t xml:space="preserve"> por cento) sobre o valor estimado do(s) item(s) prejudicado(s) pela conduta do fornecedor, po</w:t>
      </w:r>
      <w:r>
        <w:rPr>
          <w:rFonts w:cs="Arial" w:ascii="Calibri" w:hAnsi="Calibri"/>
          <w:i w:val="false"/>
          <w:iCs w:val="false"/>
          <w:sz w:val="24"/>
        </w:rPr>
        <w:t>r qualquer das infrações dos subitens 8.1.1 a 8.1.12;</w:t>
      </w:r>
    </w:p>
    <w:p>
      <w:pPr>
        <w:pStyle w:val="Normal"/>
        <w:numPr>
          <w:ilvl w:val="2"/>
          <w:numId w:val="4"/>
        </w:numPr>
        <w:spacing w:lineRule="auto" w:line="276" w:before="120" w:after="120"/>
        <w:jc w:val="both"/>
        <w:rPr>
          <w:rFonts w:ascii="Calibri" w:hAnsi="Calibri"/>
          <w:i w:val="false"/>
          <w:i w:val="false"/>
          <w:iCs w:val="false"/>
        </w:rPr>
      </w:pPr>
      <w:r>
        <w:rPr>
          <w:rFonts w:cs="Arial" w:ascii="Calibri" w:hAnsi="Calibri"/>
          <w:i w:val="false"/>
          <w:iCs w:val="false"/>
          <w:color w:val="000000"/>
          <w:sz w:val="24"/>
        </w:rPr>
        <w:t>Impedimento de licitar e contratar</w:t>
      </w:r>
      <w:r>
        <w:rPr>
          <w:rFonts w:cs="Arial" w:ascii="Calibri" w:hAnsi="Calibri"/>
          <w:i w:val="false"/>
          <w:iCs w:val="false"/>
          <w:sz w:val="24"/>
        </w:rPr>
        <w:t xml:space="preserve"> </w:t>
      </w:r>
      <w:r>
        <w:rPr>
          <w:rFonts w:cs="Arial" w:ascii="Calibri" w:hAnsi="Calibri"/>
          <w:i w:val="false"/>
          <w:iCs w:val="false"/>
          <w:color w:val="000000"/>
          <w:sz w:val="24"/>
        </w:rPr>
        <w:t>no âmbito da Administração Pública direta e indireta do ente federativo que tiver aplicado a sanção, pelo prazo máximo de 3 (três) anos, nos casos dos subitens 8.1.2 a 8.1.7 deste Aviso de Contratação Direta, quando não se justificar a imposição de penalidade mais grave</w:t>
      </w:r>
      <w:r>
        <w:rPr>
          <w:rFonts w:cs="Arial" w:ascii="Calibri" w:hAnsi="Calibri"/>
          <w:i w:val="false"/>
          <w:iCs w:val="false"/>
          <w:sz w:val="24"/>
        </w:rPr>
        <w:t>;</w:t>
      </w:r>
    </w:p>
    <w:p>
      <w:pPr>
        <w:pStyle w:val="Normal"/>
        <w:numPr>
          <w:ilvl w:val="2"/>
          <w:numId w:val="4"/>
        </w:numPr>
        <w:spacing w:lineRule="auto" w:line="276" w:before="120" w:after="120"/>
        <w:jc w:val="both"/>
        <w:rPr>
          <w:rFonts w:ascii="Calibri" w:hAnsi="Calibri"/>
          <w:i w:val="false"/>
          <w:i w:val="false"/>
          <w:iCs w:val="false"/>
        </w:rPr>
      </w:pPr>
      <w:r>
        <w:rPr>
          <w:rFonts w:cs="Arial" w:ascii="Calibri" w:hAnsi="Calibri"/>
          <w:i w:val="false"/>
          <w:iCs w:val="false"/>
          <w:color w:val="000000"/>
          <w:sz w:val="24"/>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 8.1.8 a 8.1.12, bem como nos demais casos que justifiquem a imposição da penalidade mais grave</w:t>
      </w:r>
      <w:r>
        <w:rPr>
          <w:rFonts w:cs="Arial" w:ascii="Calibri" w:hAnsi="Calibri"/>
          <w:i w:val="false"/>
          <w:iCs w:val="false"/>
          <w:sz w:val="24"/>
        </w:rPr>
        <w:t>;</w:t>
      </w:r>
    </w:p>
    <w:p>
      <w:pPr>
        <w:pStyle w:val="Normal"/>
        <w:numPr>
          <w:ilvl w:val="0"/>
          <w:numId w:val="0"/>
        </w:numPr>
        <w:spacing w:lineRule="auto" w:line="276" w:before="113" w:after="113"/>
        <w:ind w:left="792" w:hanging="0"/>
        <w:jc w:val="both"/>
        <w:rPr>
          <w:rFonts w:ascii="Calibri" w:hAnsi="Calibri"/>
          <w:i w:val="false"/>
          <w:i w:val="false"/>
          <w:iCs w:val="false"/>
        </w:rPr>
      </w:pPr>
      <w:r>
        <w:rPr>
          <w:rFonts w:cs="Arial" w:ascii="Calibri" w:hAnsi="Calibri"/>
          <w:bCs/>
          <w:i w:val="false"/>
          <w:iCs w:val="false"/>
          <w:sz w:val="24"/>
        </w:rPr>
        <w:t>8.3. Na aplicação das sanções serão considerados:</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bCs/>
          <w:i w:val="false"/>
          <w:iCs w:val="false"/>
          <w:sz w:val="24"/>
        </w:rPr>
        <w:t>8.3.1. a natureza e a gravidade da infração cometida;</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bCs/>
          <w:i w:val="false"/>
          <w:iCs w:val="false"/>
          <w:sz w:val="24"/>
        </w:rPr>
        <w:t>8.3.2. as peculiaridades do caso concreto;</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bCs/>
          <w:i w:val="false"/>
          <w:iCs w:val="false"/>
          <w:sz w:val="24"/>
        </w:rPr>
        <w:t>8.3.3. as circunstâncias agravantes ou atenuantes;</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bCs/>
          <w:i w:val="false"/>
          <w:iCs w:val="false"/>
          <w:sz w:val="24"/>
        </w:rPr>
        <w:t>8.3.4. os danos que dela provierem para a Administração Pública;</w:t>
      </w:r>
    </w:p>
    <w:p>
      <w:pPr>
        <w:pStyle w:val="Normal"/>
        <w:numPr>
          <w:ilvl w:val="0"/>
          <w:numId w:val="0"/>
        </w:numPr>
        <w:spacing w:lineRule="auto" w:line="276" w:before="113" w:after="113"/>
        <w:ind w:left="1224" w:hanging="0"/>
        <w:jc w:val="both"/>
        <w:rPr>
          <w:rFonts w:ascii="Calibri" w:hAnsi="Calibri"/>
          <w:i w:val="false"/>
          <w:i w:val="false"/>
          <w:iCs w:val="false"/>
        </w:rPr>
      </w:pPr>
      <w:r>
        <w:rPr>
          <w:rFonts w:cs="Arial" w:ascii="Calibri" w:hAnsi="Calibri"/>
          <w:bCs/>
          <w:i w:val="false"/>
          <w:iCs w:val="false"/>
          <w:sz w:val="24"/>
        </w:rPr>
        <w:t>8.3.5. a implantação ou o aperfeiçoamento de programa de integridade, conforme normas e orientações dos órgãos de controle.</w:t>
      </w:r>
    </w:p>
    <w:p>
      <w:pPr>
        <w:pStyle w:val="Normal"/>
        <w:widowControl/>
        <w:numPr>
          <w:ilvl w:val="0"/>
          <w:numId w:val="0"/>
        </w:numPr>
        <w:bidi w:val="0"/>
        <w:spacing w:lineRule="auto" w:line="276" w:before="113" w:after="113"/>
        <w:ind w:left="1529" w:right="0" w:hanging="0"/>
        <w:jc w:val="both"/>
        <w:rPr>
          <w:rFonts w:ascii="Calibri" w:hAnsi="Calibri"/>
          <w:i w:val="false"/>
          <w:i w:val="false"/>
          <w:iCs w:val="false"/>
        </w:rPr>
      </w:pPr>
      <w:bookmarkStart w:id="10" w:name="art156§6"/>
      <w:bookmarkStart w:id="11" w:name="art156§8"/>
      <w:bookmarkStart w:id="12" w:name="art156§7"/>
      <w:bookmarkEnd w:id="10"/>
      <w:bookmarkEnd w:id="11"/>
      <w:bookmarkEnd w:id="12"/>
      <w:r>
        <w:rPr>
          <w:rFonts w:cs="Arial" w:ascii="Calibri" w:hAnsi="Calibri"/>
          <w:i w:val="false"/>
          <w:iCs w:val="false"/>
          <w:sz w:val="24"/>
        </w:rPr>
        <w:t>8.4. Se a multa aplicada e as indenizações cabíveis forem superiores ao valor de pagamento eventualmente devido pela Administração ao contratado, além da perda desse valor, a diferença será descontada da garantia prestada ou será cobrada judicialmente.</w:t>
      </w:r>
    </w:p>
    <w:p>
      <w:pPr>
        <w:pStyle w:val="Normal"/>
        <w:widowControl/>
        <w:numPr>
          <w:ilvl w:val="0"/>
          <w:numId w:val="0"/>
        </w:numPr>
        <w:bidi w:val="0"/>
        <w:spacing w:lineRule="auto" w:line="276" w:before="113" w:after="113"/>
        <w:ind w:left="1529" w:right="0" w:hanging="0"/>
        <w:jc w:val="both"/>
        <w:rPr>
          <w:rFonts w:ascii="Calibri" w:hAnsi="Calibri"/>
          <w:i w:val="false"/>
          <w:i w:val="false"/>
          <w:iCs w:val="false"/>
        </w:rPr>
      </w:pPr>
      <w:bookmarkStart w:id="13" w:name="art156§9"/>
      <w:bookmarkEnd w:id="13"/>
      <w:r>
        <w:rPr>
          <w:rFonts w:cs="Arial" w:ascii="Calibri" w:hAnsi="Calibri"/>
          <w:i w:val="false"/>
          <w:iCs w:val="false"/>
          <w:sz w:val="24"/>
        </w:rPr>
        <w:t>8.5. A aplicação das sanções previstas neste Aviso de Contratação Direta, em hipótese alguma, a obrigação de reparação integral do dano causado à Administração Pública.</w:t>
      </w:r>
    </w:p>
    <w:p>
      <w:pPr>
        <w:pStyle w:val="Normal"/>
        <w:widowControl/>
        <w:numPr>
          <w:ilvl w:val="0"/>
          <w:numId w:val="0"/>
        </w:numPr>
        <w:bidi w:val="0"/>
        <w:spacing w:lineRule="auto" w:line="276" w:before="113" w:after="113"/>
        <w:ind w:left="1529" w:right="0" w:hanging="0"/>
        <w:jc w:val="both"/>
        <w:rPr>
          <w:rFonts w:ascii="Calibri" w:hAnsi="Calibri"/>
          <w:i w:val="false"/>
          <w:i w:val="false"/>
          <w:iCs w:val="false"/>
        </w:rPr>
      </w:pPr>
      <w:r>
        <w:rPr>
          <w:rFonts w:cs="Arial" w:ascii="Calibri" w:hAnsi="Calibri"/>
          <w:i w:val="false"/>
          <w:iCs w:val="false"/>
          <w:sz w:val="24"/>
        </w:rPr>
        <w:t>8.6. A penalidade de multa pode ser aplicada cumulativamente com as demais sanções.</w:t>
      </w:r>
    </w:p>
    <w:p>
      <w:pPr>
        <w:pStyle w:val="Normal"/>
        <w:widowControl/>
        <w:numPr>
          <w:ilvl w:val="0"/>
          <w:numId w:val="0"/>
        </w:numPr>
        <w:bidi w:val="0"/>
        <w:spacing w:lineRule="auto" w:line="276" w:before="113" w:after="113"/>
        <w:ind w:left="1529" w:right="0" w:hanging="0"/>
        <w:jc w:val="both"/>
        <w:rPr>
          <w:rFonts w:ascii="Calibri" w:hAnsi="Calibri"/>
          <w:i w:val="false"/>
          <w:i w:val="false"/>
          <w:iCs w:val="false"/>
        </w:rPr>
      </w:pPr>
      <w:r>
        <w:rPr>
          <w:rFonts w:cs="Arial" w:ascii="Calibri" w:hAnsi="Calibri"/>
          <w:i w:val="false"/>
          <w:iCs w:val="false"/>
          <w:sz w:val="24"/>
        </w:rPr>
        <w:t xml:space="preserve">8.7. Se, durante o processo de aplicação de penalidade, houver indícios de prática de infração administrativa tipificada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 PAR. </w:t>
      </w:r>
    </w:p>
    <w:p>
      <w:pPr>
        <w:pStyle w:val="Normal"/>
        <w:widowControl/>
        <w:numPr>
          <w:ilvl w:val="0"/>
          <w:numId w:val="0"/>
        </w:numPr>
        <w:bidi w:val="0"/>
        <w:spacing w:lineRule="auto" w:line="276" w:before="113" w:after="113"/>
        <w:ind w:left="1472" w:right="0" w:hanging="0"/>
        <w:jc w:val="both"/>
        <w:rPr>
          <w:rFonts w:ascii="Calibri" w:hAnsi="Calibri"/>
          <w:i w:val="false"/>
          <w:i w:val="false"/>
          <w:iCs w:val="false"/>
        </w:rPr>
      </w:pPr>
      <w:r>
        <w:rPr>
          <w:rFonts w:cs="Arial" w:ascii="Calibri" w:hAnsi="Calibri"/>
          <w:i w:val="false"/>
          <w:iCs w:val="false"/>
          <w:sz w:val="24"/>
        </w:rPr>
        <w:t>8.8. A apuração e o julgamento das demais infrações administrativas não consideradas como ato lesivo à Administração Pública nacional ou estrangeira nos termos da Lei nº 12.846, de 1º de agosto de 2013, seguirão seu rito normal na unidade administrativa.</w:t>
      </w:r>
    </w:p>
    <w:p>
      <w:pPr>
        <w:pStyle w:val="Normal"/>
        <w:widowControl/>
        <w:numPr>
          <w:ilvl w:val="0"/>
          <w:numId w:val="0"/>
        </w:numPr>
        <w:suppressAutoHyphens w:val="true"/>
        <w:bidi w:val="0"/>
        <w:spacing w:lineRule="auto" w:line="276" w:before="113" w:after="113"/>
        <w:ind w:left="737" w:right="0" w:hanging="0"/>
        <w:jc w:val="both"/>
        <w:rPr>
          <w:rFonts w:ascii="Calibri" w:hAnsi="Calibri"/>
          <w:i w:val="false"/>
          <w:i w:val="false"/>
          <w:iCs w:val="false"/>
        </w:rPr>
      </w:pPr>
      <w:r>
        <w:rPr>
          <w:rFonts w:cs="Arial" w:ascii="Calibri" w:hAnsi="Calibri"/>
          <w:i w:val="false"/>
          <w:iCs w:val="false"/>
          <w:sz w:val="24"/>
        </w:rPr>
        <w:t xml:space="preserve">8.9. O processamento do PAR não interfere no seguimento regular dos processos administrativos específicos para apuração da ocorrência de danos e prejuízos à Administração Pública Federal resultantes de ato lesivo cometido por pessoa jurídica, com ou sem a participação de agente público. </w:t>
      </w:r>
    </w:p>
    <w:p>
      <w:pPr>
        <w:pStyle w:val="Normal"/>
        <w:widowControl/>
        <w:numPr>
          <w:ilvl w:val="0"/>
          <w:numId w:val="0"/>
        </w:numPr>
        <w:suppressAutoHyphens w:val="true"/>
        <w:bidi w:val="0"/>
        <w:spacing w:lineRule="auto" w:line="276" w:before="113" w:after="113"/>
        <w:ind w:left="737" w:right="0" w:hanging="0"/>
        <w:jc w:val="both"/>
        <w:rPr>
          <w:rFonts w:ascii="Calibri" w:hAnsi="Calibri"/>
          <w:i w:val="false"/>
          <w:i w:val="false"/>
          <w:iCs w:val="false"/>
        </w:rPr>
      </w:pPr>
      <w:r>
        <w:rPr>
          <w:rFonts w:cs="Arial" w:ascii="Calibri" w:hAnsi="Calibri"/>
          <w:i w:val="false"/>
          <w:iCs w:val="false"/>
          <w:sz w:val="24"/>
        </w:rPr>
        <w:t>8.10. A aplicação de qualquer das penalidades previstas realizar-se-á em processo administrativo que assegurará o contraditório e a ampla defesa ao fornecedor/adjudicatário, observando-se o procedimento previsto na Lei nº 14.133, de 2021, e subsidiariamente na Lei nº 9.784, de 1999.</w:t>
      </w:r>
    </w:p>
    <w:p>
      <w:pPr>
        <w:pStyle w:val="Normal"/>
        <w:widowControl/>
        <w:numPr>
          <w:ilvl w:val="0"/>
          <w:numId w:val="0"/>
        </w:numPr>
        <w:suppressAutoHyphens w:val="true"/>
        <w:bidi w:val="0"/>
        <w:spacing w:lineRule="auto" w:line="276" w:before="113" w:after="227"/>
        <w:ind w:left="680" w:right="0" w:hanging="0"/>
        <w:jc w:val="both"/>
        <w:rPr>
          <w:rFonts w:ascii="Calibri" w:hAnsi="Calibri"/>
          <w:i w:val="false"/>
          <w:i w:val="false"/>
          <w:iCs w:val="false"/>
        </w:rPr>
      </w:pPr>
      <w:r>
        <w:rPr>
          <w:rFonts w:cs="Arial" w:ascii="Calibri" w:hAnsi="Calibri"/>
          <w:i w:val="false"/>
          <w:iCs w:val="false"/>
          <w:sz w:val="24"/>
        </w:rPr>
        <w:t>8.11. As sanções por atos praticados no decorrer da contratação estão previstas nos anexos a este Aviso.</w:t>
      </w:r>
    </w:p>
    <w:p>
      <w:pPr>
        <w:pStyle w:val="Ttulo1"/>
        <w:numPr>
          <w:ilvl w:val="0"/>
          <w:numId w:val="0"/>
        </w:numPr>
        <w:ind w:left="360" w:hanging="0"/>
        <w:rPr>
          <w:rFonts w:ascii="Calibri" w:hAnsi="Calibri"/>
          <w:b/>
          <w:b/>
          <w:bCs/>
          <w:i w:val="false"/>
          <w:i w:val="false"/>
          <w:iCs w:val="false"/>
        </w:rPr>
      </w:pPr>
      <w:r>
        <w:rPr>
          <w:rFonts w:cs="Arial" w:ascii="Calibri" w:hAnsi="Calibri"/>
          <w:b/>
          <w:bCs/>
          <w:i w:val="false"/>
          <w:iCs w:val="false"/>
          <w:color w:val="auto"/>
          <w:sz w:val="24"/>
          <w:szCs w:val="24"/>
        </w:rPr>
        <w:t xml:space="preserve">9. </w:t>
      </w:r>
      <w:bookmarkStart w:id="14" w:name="_Toc104906826"/>
      <w:r>
        <w:rPr>
          <w:rFonts w:cs="Arial" w:ascii="Calibri" w:hAnsi="Calibri"/>
          <w:b/>
          <w:bCs/>
          <w:i w:val="false"/>
          <w:iCs w:val="false"/>
          <w:color w:val="auto"/>
          <w:sz w:val="24"/>
          <w:szCs w:val="24"/>
        </w:rPr>
        <w:t>DAS DISPOSIÇÕES GERAIS</w:t>
      </w:r>
      <w:bookmarkEnd w:id="14"/>
    </w:p>
    <w:p>
      <w:pPr>
        <w:pStyle w:val="Normal"/>
        <w:widowControl/>
        <w:numPr>
          <w:ilvl w:val="0"/>
          <w:numId w:val="0"/>
        </w:numPr>
        <w:suppressAutoHyphens w:val="true"/>
        <w:bidi w:val="0"/>
        <w:snapToGrid w:val="false"/>
        <w:spacing w:lineRule="auto" w:line="276" w:before="120" w:after="120"/>
        <w:ind w:left="737" w:right="0" w:hanging="0"/>
        <w:jc w:val="both"/>
        <w:rPr>
          <w:rFonts w:ascii="Calibri" w:hAnsi="Calibri"/>
          <w:i w:val="false"/>
          <w:i w:val="false"/>
          <w:iCs w:val="false"/>
        </w:rPr>
      </w:pPr>
      <w:r>
        <w:rPr>
          <w:rFonts w:cs="Arial" w:ascii="Calibri" w:hAnsi="Calibri"/>
          <w:i w:val="false"/>
          <w:iCs w:val="false"/>
          <w:sz w:val="24"/>
        </w:rPr>
        <w:t>9.1. O procedimento será divulgado no Comprasnet 4.0 e no Portal Nacional de Contratações Públicas - PNCP, e encaminhado automaticamente aos fornecedores registrados no Sistema de Registro Cadastral Unificado - Sicaf, por mensagem eletrônica, na correspondente linha de fornecimento que pretende atender.</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color w:val="000000"/>
          <w:sz w:val="24"/>
        </w:rPr>
        <w:t>9.2. No caso de todos os fornecedores restarem desclassificados ou inabilitados (procedimento fracassado), a Administração poderá:</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9.2.1. republicar o presente aviso com uma nova data;</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9.2.2. valer-se, para a contratação, de proposta obtida na pesquisa de preços que serviu de base ao procedimento, se houver, privilegiando-se os menores preços, sempre que possível, e desde que atendidas às condições de habilitação exigidas.</w:t>
      </w:r>
    </w:p>
    <w:p>
      <w:pPr>
        <w:pStyle w:val="Normal"/>
        <w:numPr>
          <w:ilvl w:val="0"/>
          <w:numId w:val="0"/>
        </w:numPr>
        <w:spacing w:lineRule="auto" w:line="276" w:before="120" w:after="120"/>
        <w:ind w:left="1728" w:hanging="0"/>
        <w:jc w:val="both"/>
        <w:rPr>
          <w:rFonts w:ascii="Calibri" w:hAnsi="Calibri"/>
          <w:i w:val="false"/>
          <w:i w:val="false"/>
          <w:iCs w:val="false"/>
        </w:rPr>
      </w:pPr>
      <w:r>
        <w:rPr>
          <w:rFonts w:cs="Arial" w:ascii="Calibri" w:hAnsi="Calibri"/>
          <w:i w:val="false"/>
          <w:iCs w:val="false"/>
          <w:color w:val="000000"/>
          <w:sz w:val="24"/>
        </w:rPr>
        <w:t>9.2.2.1. No caso do subitem anterior, a contratação será operacionalizada fora deste procedimento.</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9.2.3. fixar prazo para que possa haver adequação das propostas ou da documentação de habilitação, conforme o caso.</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color w:val="000000"/>
          <w:sz w:val="24"/>
        </w:rPr>
        <w:t>9.3. As providências dos subitens 9.2.1 e 9.2.2 acima poderão ser utilizadas se não houver o comparecimento de quaisquer fornecedores interessados (procedimento deserto)</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color w:val="000000"/>
          <w:sz w:val="24"/>
        </w:rPr>
        <w:t>9.4. Havendo a necessidade de realização de ato de qualquer natureza pelos fornecedores, cujo prazo não conste deste Aviso de Contratação Direta, deverá ser atendido o prazo indicado pelo agente competente da Administração na respectiva notificação.</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color w:val="000000"/>
          <w:sz w:val="24"/>
        </w:rPr>
        <w:t>9.5. Caberá ao fornecedor acompanhar as operações, ficando responsável pelo ônus decorrente da perda do negócio diante da inobservância de quaisquer mensagens emitidas pela Administração ou de sua desconexão.</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color w:val="000000"/>
          <w:sz w:val="24"/>
        </w:rPr>
        <w:t>9.6.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color w:val="000000"/>
          <w:sz w:val="24"/>
        </w:rPr>
        <w:t>9.7. Os horários estabelecidos na divulgação deste procedimento e durante o envio de lances observarão o horário de Brasília-DF, inclusive para contagem de tempo e registro no Sistema e na documentação relativa ao procedimento.</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color w:val="000000" w:themeColor="text1"/>
          <w:sz w:val="24"/>
        </w:rPr>
        <w:t>9.8. 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pPr>
        <w:pStyle w:val="Normal"/>
        <w:widowControl/>
        <w:numPr>
          <w:ilvl w:val="0"/>
          <w:numId w:val="0"/>
        </w:numPr>
        <w:suppressAutoHyphens w:val="true"/>
        <w:bidi w:val="0"/>
        <w:spacing w:lineRule="auto" w:line="276" w:before="120" w:after="120"/>
        <w:ind w:left="737" w:right="0" w:hanging="0"/>
        <w:jc w:val="both"/>
        <w:rPr>
          <w:rFonts w:ascii="Calibri" w:hAnsi="Calibri"/>
          <w:i w:val="false"/>
          <w:i w:val="false"/>
          <w:iCs w:val="false"/>
        </w:rPr>
      </w:pPr>
      <w:r>
        <w:rPr>
          <w:rFonts w:cs="Arial" w:ascii="Calibri" w:hAnsi="Calibri"/>
          <w:i w:val="false"/>
          <w:iCs w:val="false"/>
          <w:color w:val="000000"/>
          <w:sz w:val="24"/>
        </w:rPr>
        <w:t xml:space="preserve">9.9. 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pPr>
        <w:pStyle w:val="Normal"/>
        <w:widowControl/>
        <w:numPr>
          <w:ilvl w:val="0"/>
          <w:numId w:val="0"/>
        </w:numPr>
        <w:suppressAutoHyphens w:val="true"/>
        <w:bidi w:val="0"/>
        <w:spacing w:lineRule="auto" w:line="276" w:before="120" w:after="120"/>
        <w:ind w:left="680" w:right="0" w:hanging="0"/>
        <w:jc w:val="both"/>
        <w:rPr>
          <w:rFonts w:ascii="Calibri" w:hAnsi="Calibri"/>
          <w:i w:val="false"/>
          <w:i w:val="false"/>
          <w:iCs w:val="false"/>
        </w:rPr>
      </w:pPr>
      <w:r>
        <w:rPr>
          <w:rFonts w:cs="Arial" w:ascii="Calibri" w:hAnsi="Calibri"/>
          <w:i w:val="false"/>
          <w:iCs w:val="false"/>
          <w:color w:val="000000"/>
          <w:sz w:val="24"/>
        </w:rPr>
        <w:t>9.10. Os fornecedores assumem todos os custos de preparação e apresentação de suas propostas e a Administração não será, em nenhum caso, responsável por esses custos, independentemente da condução ou do resultado do processo de contratação.</w:t>
      </w:r>
    </w:p>
    <w:p>
      <w:pPr>
        <w:pStyle w:val="Normal"/>
        <w:widowControl/>
        <w:numPr>
          <w:ilvl w:val="0"/>
          <w:numId w:val="0"/>
        </w:numPr>
        <w:suppressAutoHyphens w:val="true"/>
        <w:bidi w:val="0"/>
        <w:spacing w:lineRule="auto" w:line="276" w:before="120" w:after="120"/>
        <w:ind w:left="680" w:right="0" w:hanging="0"/>
        <w:jc w:val="both"/>
        <w:rPr>
          <w:rFonts w:ascii="Calibri" w:hAnsi="Calibri"/>
          <w:i w:val="false"/>
          <w:i w:val="false"/>
          <w:iCs w:val="false"/>
        </w:rPr>
      </w:pPr>
      <w:r>
        <w:rPr>
          <w:rFonts w:cs="Arial" w:ascii="Calibri" w:hAnsi="Calibri"/>
          <w:i w:val="false"/>
          <w:iCs w:val="false"/>
          <w:color w:val="000000"/>
          <w:sz w:val="24"/>
        </w:rPr>
        <w:t>9.11. Em caso de divergência entre disposições deste Aviso de Contratação Direta e de seus anexos ou demais peças que compõem o processo, prevalecerá as deste Aviso.</w:t>
      </w:r>
    </w:p>
    <w:p>
      <w:pPr>
        <w:pStyle w:val="Normal"/>
        <w:widowControl/>
        <w:numPr>
          <w:ilvl w:val="0"/>
          <w:numId w:val="0"/>
        </w:numPr>
        <w:suppressAutoHyphens w:val="true"/>
        <w:bidi w:val="0"/>
        <w:spacing w:lineRule="auto" w:line="276" w:before="120" w:after="120"/>
        <w:ind w:left="624" w:right="0" w:hanging="0"/>
        <w:jc w:val="both"/>
        <w:rPr>
          <w:rFonts w:ascii="Calibri" w:hAnsi="Calibri"/>
          <w:i w:val="false"/>
          <w:i w:val="false"/>
          <w:iCs w:val="false"/>
        </w:rPr>
      </w:pPr>
      <w:r>
        <w:rPr>
          <w:rFonts w:cs="Arial" w:ascii="Calibri" w:hAnsi="Calibri"/>
          <w:i w:val="false"/>
          <w:iCs w:val="false"/>
          <w:color w:val="000000"/>
          <w:sz w:val="24"/>
        </w:rPr>
        <w:t>9.12. Da sessão pública será divulgada Ata no sistema eletrônico.</w:t>
      </w:r>
    </w:p>
    <w:p>
      <w:pPr>
        <w:pStyle w:val="Normal"/>
        <w:widowControl/>
        <w:numPr>
          <w:ilvl w:val="0"/>
          <w:numId w:val="0"/>
        </w:numPr>
        <w:suppressAutoHyphens w:val="true"/>
        <w:bidi w:val="0"/>
        <w:spacing w:lineRule="auto" w:line="276" w:before="120" w:after="120"/>
        <w:ind w:left="624" w:right="0" w:hanging="0"/>
        <w:jc w:val="both"/>
        <w:rPr>
          <w:rFonts w:ascii="Calibri" w:hAnsi="Calibri"/>
          <w:i w:val="false"/>
          <w:i w:val="false"/>
          <w:iCs w:val="false"/>
        </w:rPr>
      </w:pPr>
      <w:r>
        <w:rPr>
          <w:rFonts w:cs="Arial" w:ascii="Calibri" w:hAnsi="Calibri"/>
          <w:i w:val="false"/>
          <w:iCs w:val="false"/>
          <w:color w:val="000000"/>
          <w:sz w:val="24"/>
        </w:rPr>
        <w:t>9.13. Integram este Aviso de Contratação Direta, para todos os fins e efeitos, os seguintes anexos:</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9.13.1. ANEXO I – Documentação exigida para Habilitação</w:t>
      </w:r>
    </w:p>
    <w:p>
      <w:pPr>
        <w:pStyle w:val="Normal"/>
        <w:numPr>
          <w:ilvl w:val="0"/>
          <w:numId w:val="0"/>
        </w:numPr>
        <w:spacing w:lineRule="auto" w:line="276" w:before="120" w:after="120"/>
        <w:ind w:left="1224" w:hanging="0"/>
        <w:jc w:val="both"/>
        <w:rPr>
          <w:rFonts w:ascii="Calibri" w:hAnsi="Calibri"/>
          <w:i w:val="false"/>
          <w:i w:val="false"/>
          <w:iCs w:val="false"/>
        </w:rPr>
      </w:pPr>
      <w:r>
        <w:rPr>
          <w:rFonts w:cs="Arial" w:ascii="Calibri" w:hAnsi="Calibri"/>
          <w:i w:val="false"/>
          <w:iCs w:val="false"/>
          <w:color w:val="000000"/>
          <w:sz w:val="24"/>
        </w:rPr>
        <w:t>9.13.2. ANEXO II - Termo de Referência;</w:t>
      </w:r>
    </w:p>
    <w:p>
      <w:pPr>
        <w:pStyle w:val="Normal"/>
        <w:numPr>
          <w:ilvl w:val="0"/>
          <w:numId w:val="0"/>
        </w:numPr>
        <w:spacing w:lineRule="auto" w:line="276" w:before="120" w:after="120"/>
        <w:ind w:left="1728" w:hanging="0"/>
        <w:jc w:val="both"/>
        <w:rPr>
          <w:rFonts w:ascii="Calibri" w:hAnsi="Calibri" w:cs="Arial"/>
          <w:i w:val="false"/>
          <w:i w:val="false"/>
          <w:iCs w:val="false"/>
          <w:color w:val="000000"/>
          <w:sz w:val="24"/>
        </w:rPr>
      </w:pPr>
      <w:r>
        <w:rPr>
          <w:rFonts w:cs="Arial" w:ascii="Calibri" w:hAnsi="Calibri"/>
          <w:i w:val="false"/>
          <w:iCs w:val="false"/>
          <w:color w:val="000000"/>
          <w:sz w:val="24"/>
        </w:rPr>
      </w:r>
    </w:p>
    <w:p>
      <w:pPr>
        <w:pStyle w:val="Normal"/>
        <w:spacing w:lineRule="auto" w:line="276" w:before="0" w:after="120"/>
        <w:ind w:left="360" w:right="-15" w:hanging="0"/>
        <w:jc w:val="center"/>
        <w:rPr>
          <w:rFonts w:ascii="Calibri" w:hAnsi="Calibri"/>
          <w:i w:val="false"/>
          <w:i w:val="false"/>
          <w:iCs w:val="false"/>
        </w:rPr>
      </w:pPr>
      <w:r>
        <w:rPr>
          <w:rFonts w:ascii="Calibri" w:hAnsi="Calibri"/>
          <w:i w:val="false"/>
          <w:iCs w:val="false"/>
        </w:rPr>
      </w:r>
    </w:p>
    <w:p>
      <w:pPr>
        <w:pStyle w:val="Normal"/>
        <w:spacing w:lineRule="auto" w:line="276" w:before="0" w:after="120"/>
        <w:ind w:left="360" w:right="-15" w:hanging="0"/>
        <w:jc w:val="center"/>
        <w:rPr>
          <w:rFonts w:ascii="Calibri" w:hAnsi="Calibri"/>
          <w:i w:val="false"/>
          <w:i w:val="false"/>
          <w:iCs w:val="false"/>
        </w:rPr>
      </w:pPr>
      <w:r>
        <w:rPr>
          <w:rFonts w:eastAsia="Times New Roman" w:cs="Arial" w:ascii="Calibri" w:hAnsi="Calibri"/>
          <w:i w:val="false"/>
          <w:iCs w:val="false"/>
          <w:color w:val="000000"/>
          <w:sz w:val="24"/>
          <w:szCs w:val="24"/>
          <w:lang w:eastAsia="pt-BR"/>
        </w:rPr>
        <w:t>Quartel em Lages-SC 19 de junho de 2023</w:t>
      </w:r>
      <w:r>
        <w:rPr>
          <w:rFonts w:cs="Arial" w:ascii="Calibri" w:hAnsi="Calibri"/>
          <w:i w:val="false"/>
          <w:iCs w:val="false"/>
          <w:color w:val="000000"/>
          <w:sz w:val="24"/>
        </w:rPr>
        <w:t>.</w:t>
      </w:r>
    </w:p>
    <w:p>
      <w:pPr>
        <w:pStyle w:val="Normal"/>
        <w:spacing w:lineRule="auto" w:line="276"/>
        <w:jc w:val="center"/>
        <w:rPr>
          <w:rFonts w:ascii="Calibri" w:hAnsi="Calibri" w:cs="Arial"/>
          <w:b/>
          <w:b/>
          <w:bCs/>
          <w:i w:val="false"/>
          <w:i w:val="false"/>
          <w:iCs w:val="false"/>
          <w:color w:val="000000"/>
          <w:sz w:val="24"/>
        </w:rPr>
      </w:pPr>
      <w:r>
        <w:rPr>
          <w:rFonts w:cs="Arial" w:ascii="Calibri" w:hAnsi="Calibri"/>
          <w:b/>
          <w:bCs/>
          <w:i w:val="false"/>
          <w:iCs w:val="false"/>
          <w:color w:val="000000"/>
          <w:sz w:val="24"/>
        </w:rPr>
      </w:r>
    </w:p>
    <w:p>
      <w:pPr>
        <w:pStyle w:val="Normal"/>
        <w:spacing w:lineRule="auto" w:line="276"/>
        <w:jc w:val="left"/>
        <w:rPr>
          <w:rFonts w:ascii="Calibri" w:hAnsi="Calibri" w:cs="Arial"/>
          <w:b/>
          <w:b/>
          <w:bCs/>
          <w:i w:val="false"/>
          <w:i w:val="false"/>
          <w:iCs w:val="false"/>
          <w:color w:val="000000"/>
          <w:sz w:val="24"/>
        </w:rPr>
      </w:pPr>
      <w:r>
        <w:rPr>
          <w:rFonts w:cs="Arial" w:ascii="Calibri" w:hAnsi="Calibri"/>
          <w:b/>
          <w:bCs/>
          <w:i w:val="false"/>
          <w:iCs w:val="false"/>
          <w:color w:val="000000"/>
          <w:sz w:val="24"/>
        </w:rPr>
      </w:r>
    </w:p>
    <w:p>
      <w:pPr>
        <w:pStyle w:val="Normal"/>
        <w:spacing w:lineRule="auto" w:line="276"/>
        <w:jc w:val="left"/>
        <w:rPr>
          <w:rFonts w:ascii="Calibri" w:hAnsi="Calibri" w:cs="Arial"/>
          <w:b/>
          <w:b/>
          <w:bCs/>
          <w:i w:val="false"/>
          <w:i w:val="false"/>
          <w:iCs w:val="false"/>
          <w:color w:val="000000"/>
          <w:sz w:val="24"/>
        </w:rPr>
      </w:pPr>
      <w:r>
        <w:rPr>
          <w:rFonts w:cs="Arial" w:ascii="Calibri" w:hAnsi="Calibri"/>
          <w:b/>
          <w:bCs/>
          <w:i w:val="false"/>
          <w:iCs w:val="false"/>
          <w:color w:val="000000"/>
          <w:sz w:val="24"/>
        </w:rPr>
      </w:r>
    </w:p>
    <w:p>
      <w:pPr>
        <w:pStyle w:val="Normal"/>
        <w:spacing w:lineRule="auto" w:line="276"/>
        <w:jc w:val="center"/>
        <w:rPr>
          <w:rFonts w:ascii="Calibri" w:hAnsi="Calibri" w:cs="Arial"/>
          <w:b/>
          <w:b/>
          <w:bCs/>
          <w:i w:val="false"/>
          <w:i w:val="false"/>
          <w:iCs w:val="false"/>
          <w:color w:val="000000"/>
          <w:sz w:val="24"/>
        </w:rPr>
      </w:pPr>
      <w:r>
        <w:rPr>
          <w:rFonts w:cs="Arial" w:ascii="Calibri" w:hAnsi="Calibri"/>
          <w:b/>
          <w:bCs/>
          <w:i w:val="false"/>
          <w:iCs w:val="false"/>
          <w:color w:val="000000"/>
          <w:sz w:val="24"/>
        </w:rPr>
      </w:r>
    </w:p>
    <w:p>
      <w:pPr>
        <w:pStyle w:val="Normal"/>
        <w:spacing w:lineRule="auto" w:line="276"/>
        <w:jc w:val="center"/>
        <w:rPr>
          <w:rFonts w:ascii="Calibri" w:hAnsi="Calibri" w:cs="Arial"/>
          <w:b w:val="false"/>
          <w:b w:val="false"/>
          <w:bCs w:val="false"/>
          <w:i w:val="false"/>
          <w:i w:val="false"/>
          <w:iCs w:val="false"/>
          <w:color w:val="000000"/>
          <w:sz w:val="24"/>
        </w:rPr>
      </w:pPr>
      <w:r>
        <w:rPr>
          <w:rFonts w:cs="Arial" w:ascii="Calibri" w:hAnsi="Calibri"/>
          <w:b w:val="false"/>
          <w:bCs w:val="false"/>
          <w:i w:val="false"/>
          <w:iCs w:val="false"/>
          <w:color w:val="000000"/>
          <w:sz w:val="24"/>
        </w:rPr>
        <w:t>FERNANDA DA SILVA GUIMARÃES ZERBINATTI – 1º  Ten</w:t>
      </w:r>
    </w:p>
    <w:p>
      <w:pPr>
        <w:pStyle w:val="Normal"/>
        <w:spacing w:lineRule="auto" w:line="276"/>
        <w:jc w:val="center"/>
        <w:rPr>
          <w:rFonts w:ascii="Calibri" w:hAnsi="Calibri" w:cs="Arial"/>
          <w:b w:val="false"/>
          <w:b w:val="false"/>
          <w:bCs w:val="false"/>
          <w:i w:val="false"/>
          <w:i w:val="false"/>
          <w:iCs w:val="false"/>
          <w:color w:val="000000"/>
          <w:sz w:val="24"/>
        </w:rPr>
      </w:pPr>
      <w:r>
        <w:rPr>
          <w:rFonts w:cs="Arial" w:ascii="Calibri" w:hAnsi="Calibri"/>
          <w:b w:val="false"/>
          <w:bCs w:val="false"/>
          <w:i w:val="false"/>
          <w:iCs w:val="false"/>
          <w:color w:val="000000"/>
          <w:sz w:val="24"/>
        </w:rPr>
        <w:t>Chefe Seção de Aquisições, Licitações e Contratos – 1º B Fv</w:t>
      </w:r>
    </w:p>
    <w:p>
      <w:pPr>
        <w:pStyle w:val="Normal"/>
        <w:spacing w:lineRule="auto" w:line="276"/>
        <w:jc w:val="center"/>
        <w:rPr>
          <w:rFonts w:ascii="Calibri" w:hAnsi="Calibri" w:cs="Arial"/>
          <w:b/>
          <w:b/>
          <w:bCs/>
          <w:i w:val="false"/>
          <w:i w:val="false"/>
          <w:iCs w:val="false"/>
          <w:color w:val="000000"/>
          <w:sz w:val="24"/>
        </w:rPr>
      </w:pPr>
      <w:r>
        <w:rPr>
          <w:rFonts w:cs="Arial" w:ascii="Calibri" w:hAnsi="Calibri"/>
          <w:b/>
          <w:bCs/>
          <w:i w:val="false"/>
          <w:iCs w:val="false"/>
          <w:color w:val="000000"/>
          <w:sz w:val="24"/>
        </w:rPr>
      </w:r>
    </w:p>
    <w:p>
      <w:pPr>
        <w:pStyle w:val="Normal"/>
        <w:spacing w:lineRule="auto" w:line="276"/>
        <w:jc w:val="center"/>
        <w:rPr>
          <w:rFonts w:ascii="Calibri" w:hAnsi="Calibri" w:cs="Arial"/>
          <w:b/>
          <w:b/>
          <w:bCs/>
          <w:i w:val="false"/>
          <w:i w:val="false"/>
          <w:iCs w:val="false"/>
          <w:color w:val="000000"/>
          <w:sz w:val="24"/>
        </w:rPr>
      </w:pPr>
      <w:r>
        <w:rPr>
          <w:rFonts w:cs="Arial" w:ascii="Calibri" w:hAnsi="Calibri"/>
          <w:b/>
          <w:bCs/>
          <w:i w:val="false"/>
          <w:iCs w:val="false"/>
          <w:color w:val="000000"/>
          <w:sz w:val="24"/>
        </w:rPr>
      </w:r>
    </w:p>
    <w:p>
      <w:pPr>
        <w:pStyle w:val="Normal"/>
        <w:spacing w:lineRule="auto" w:line="276"/>
        <w:jc w:val="center"/>
        <w:rPr>
          <w:rFonts w:ascii="Calibri" w:hAnsi="Calibri" w:cs="Arial"/>
          <w:b/>
          <w:b/>
          <w:bCs/>
          <w:i w:val="false"/>
          <w:i w:val="false"/>
          <w:iCs w:val="false"/>
          <w:color w:val="000000"/>
          <w:sz w:val="24"/>
        </w:rPr>
      </w:pPr>
      <w:r>
        <w:rPr>
          <w:rFonts w:cs="Arial" w:ascii="Calibri" w:hAnsi="Calibri"/>
          <w:b/>
          <w:bCs/>
          <w:i w:val="false"/>
          <w:iCs w:val="false"/>
          <w:color w:val="000000"/>
          <w:sz w:val="24"/>
        </w:rPr>
      </w:r>
    </w:p>
    <w:p>
      <w:pPr>
        <w:pStyle w:val="Normal"/>
        <w:spacing w:lineRule="auto" w:line="276"/>
        <w:jc w:val="center"/>
        <w:rPr>
          <w:rFonts w:ascii="Calibri" w:hAnsi="Calibri" w:cs="Arial"/>
          <w:b w:val="false"/>
          <w:b w:val="false"/>
          <w:bCs w:val="false"/>
          <w:i w:val="false"/>
          <w:i w:val="false"/>
          <w:iCs w:val="false"/>
          <w:color w:val="000000"/>
          <w:sz w:val="24"/>
        </w:rPr>
      </w:pPr>
      <w:r>
        <w:rPr>
          <w:rFonts w:cs="Arial" w:ascii="Calibri" w:hAnsi="Calibri"/>
          <w:b w:val="false"/>
          <w:bCs w:val="false"/>
          <w:i w:val="false"/>
          <w:iCs w:val="false"/>
          <w:color w:val="000000"/>
          <w:sz w:val="24"/>
        </w:rPr>
      </w:r>
    </w:p>
    <w:p>
      <w:pPr>
        <w:pStyle w:val="Normal"/>
        <w:spacing w:lineRule="auto" w:line="276"/>
        <w:jc w:val="center"/>
        <w:rPr>
          <w:rFonts w:ascii="Calibri" w:hAnsi="Calibri" w:cs="Arial"/>
          <w:b w:val="false"/>
          <w:b w:val="false"/>
          <w:bCs w:val="false"/>
          <w:i w:val="false"/>
          <w:i w:val="false"/>
          <w:iCs w:val="false"/>
          <w:color w:val="000000"/>
          <w:sz w:val="24"/>
        </w:rPr>
      </w:pPr>
      <w:r>
        <w:rPr>
          <w:rFonts w:cs="Arial" w:ascii="Calibri" w:hAnsi="Calibri"/>
          <w:b w:val="false"/>
          <w:bCs w:val="false"/>
          <w:i w:val="false"/>
          <w:iCs w:val="false"/>
          <w:color w:val="000000"/>
          <w:sz w:val="24"/>
        </w:rPr>
      </w:r>
    </w:p>
    <w:p>
      <w:pPr>
        <w:pStyle w:val="Normal"/>
        <w:spacing w:lineRule="auto" w:line="276"/>
        <w:jc w:val="center"/>
        <w:rPr>
          <w:rFonts w:ascii="Calibri" w:hAnsi="Calibri" w:eastAsia="Times New Roman" w:cs="Arial"/>
          <w:b w:val="false"/>
          <w:b w:val="false"/>
          <w:bCs w:val="false"/>
          <w:i w:val="false"/>
          <w:i w:val="false"/>
          <w:iCs w:val="false"/>
          <w:color w:val="000000"/>
          <w:sz w:val="24"/>
          <w:szCs w:val="24"/>
          <w:lang w:eastAsia="pt-BR"/>
        </w:rPr>
      </w:pPr>
      <w:r>
        <w:rPr>
          <w:rFonts w:eastAsia="Times New Roman" w:cs="Arial" w:ascii="Calibri" w:hAnsi="Calibri"/>
          <w:b w:val="false"/>
          <w:bCs w:val="false"/>
          <w:i w:val="false"/>
          <w:iCs w:val="false"/>
          <w:color w:val="000000"/>
          <w:sz w:val="24"/>
          <w:szCs w:val="24"/>
          <w:lang w:eastAsia="pt-BR"/>
        </w:rPr>
        <w:t>PAULO  DA SILVA NOGUEIRA</w:t>
      </w:r>
    </w:p>
    <w:p>
      <w:pPr>
        <w:pStyle w:val="Normal"/>
        <w:spacing w:lineRule="auto" w:line="276"/>
        <w:jc w:val="center"/>
        <w:rPr>
          <w:rFonts w:ascii="Calibri" w:hAnsi="Calibri" w:eastAsia="Times New Roman" w:cs="Arial"/>
          <w:b w:val="false"/>
          <w:b w:val="false"/>
          <w:bCs w:val="false"/>
          <w:i w:val="false"/>
          <w:i w:val="false"/>
          <w:iCs w:val="false"/>
          <w:color w:val="000000"/>
          <w:sz w:val="24"/>
          <w:szCs w:val="24"/>
          <w:lang w:eastAsia="pt-BR"/>
        </w:rPr>
      </w:pPr>
      <w:r>
        <w:rPr>
          <w:rFonts w:eastAsia="Times New Roman" w:cs="Arial" w:ascii="Calibri" w:hAnsi="Calibri"/>
          <w:b w:val="false"/>
          <w:bCs w:val="false"/>
          <w:i w:val="false"/>
          <w:iCs w:val="false"/>
          <w:color w:val="000000"/>
          <w:sz w:val="24"/>
          <w:szCs w:val="24"/>
          <w:lang w:eastAsia="pt-BR"/>
        </w:rPr>
        <w:t>Ordenador de Despesas – 1º B Fv</w:t>
      </w:r>
    </w:p>
    <w:p>
      <w:pPr>
        <w:pStyle w:val="Normal"/>
        <w:spacing w:lineRule="auto" w:line="259" w:before="0" w:after="160"/>
        <w:rPr>
          <w:rFonts w:ascii="Calibri" w:hAnsi="Calibri" w:cs="Arial"/>
          <w:b/>
          <w:b/>
          <w:bCs/>
          <w:i w:val="false"/>
          <w:i w:val="false"/>
          <w:iCs w:val="false"/>
          <w:color w:val="000000"/>
          <w:sz w:val="24"/>
        </w:rPr>
      </w:pPr>
      <w:r>
        <w:rPr>
          <w:rFonts w:cs="Arial" w:ascii="Calibri" w:hAnsi="Calibri"/>
          <w:b/>
          <w:bCs/>
          <w:i w:val="false"/>
          <w:iCs w:val="false"/>
          <w:color w:val="000000"/>
          <w:sz w:val="24"/>
        </w:rPr>
      </w:r>
      <w:r>
        <w:br w:type="page"/>
      </w:r>
    </w:p>
    <w:p>
      <w:pPr>
        <w:pStyle w:val="Normal"/>
        <w:spacing w:lineRule="auto" w:line="276"/>
        <w:jc w:val="center"/>
        <w:rPr>
          <w:rFonts w:ascii="Calibri" w:hAnsi="Calibri" w:cs="Arial"/>
          <w:i w:val="false"/>
          <w:i w:val="false"/>
          <w:iCs w:val="false"/>
          <w:sz w:val="24"/>
        </w:rPr>
      </w:pPr>
      <w:r>
        <w:rPr>
          <w:rFonts w:cs="Arial" w:ascii="Calibri" w:hAnsi="Calibri"/>
          <w:i w:val="false"/>
          <w:iCs w:val="false"/>
          <w:sz w:val="24"/>
        </w:rPr>
        <w:drawing>
          <wp:anchor behindDoc="0" distT="0" distB="0" distL="0" distR="0" simplePos="0" locked="0" layoutInCell="1" allowOverlap="1" relativeHeight="4">
            <wp:simplePos x="0" y="0"/>
            <wp:positionH relativeFrom="column">
              <wp:posOffset>2663190</wp:posOffset>
            </wp:positionH>
            <wp:positionV relativeFrom="paragraph">
              <wp:posOffset>44450</wp:posOffset>
            </wp:positionV>
            <wp:extent cx="841375" cy="784225"/>
            <wp:effectExtent l="0" t="0" r="0" b="0"/>
            <wp:wrapNone/>
            <wp:docPr id="2"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1" descr=""/>
                    <pic:cNvPicPr>
                      <a:picLocks noChangeAspect="1" noChangeArrowheads="1"/>
                    </pic:cNvPicPr>
                  </pic:nvPicPr>
                  <pic:blipFill>
                    <a:blip r:embed="rId8"/>
                    <a:srcRect l="-19" t="-20" r="-19" b="-20"/>
                    <a:stretch>
                      <a:fillRect/>
                    </a:stretch>
                  </pic:blipFill>
                  <pic:spPr bwMode="auto">
                    <a:xfrm>
                      <a:off x="0" y="0"/>
                      <a:ext cx="841375" cy="784225"/>
                    </a:xfrm>
                    <a:prstGeom prst="rect">
                      <a:avLst/>
                    </a:prstGeom>
                  </pic:spPr>
                </pic:pic>
              </a:graphicData>
            </a:graphic>
          </wp:anchor>
        </w:drawing>
      </w:r>
    </w:p>
    <w:p>
      <w:pPr>
        <w:pStyle w:val="Normal"/>
        <w:rPr>
          <w:rFonts w:ascii="Calibri" w:hAnsi="Calibri"/>
          <w:i w:val="false"/>
          <w:i w:val="false"/>
          <w:iCs w:val="false"/>
          <w:sz w:val="20"/>
          <w:szCs w:val="20"/>
          <w:lang w:val="pt-BR" w:eastAsia="pt-BR"/>
        </w:rPr>
      </w:pPr>
      <w:r>
        <w:rPr>
          <w:rFonts w:ascii="Calibri" w:hAnsi="Calibri"/>
          <w:i w:val="false"/>
          <w:iCs w:val="false"/>
          <w:sz w:val="20"/>
          <w:szCs w:val="20"/>
          <w:lang w:val="pt-BR" w:eastAsia="pt-BR"/>
        </w:rPr>
      </w:r>
    </w:p>
    <w:p>
      <w:pPr>
        <w:pStyle w:val="Normal"/>
        <w:rPr>
          <w:rFonts w:ascii="Calibri" w:hAnsi="Calibri"/>
          <w:i w:val="false"/>
          <w:i w:val="false"/>
          <w:iCs w:val="false"/>
          <w:sz w:val="20"/>
          <w:szCs w:val="20"/>
          <w:lang w:val="pt-BR" w:eastAsia="pt-BR"/>
        </w:rPr>
      </w:pPr>
      <w:r>
        <w:rPr>
          <w:rFonts w:ascii="Calibri" w:hAnsi="Calibri"/>
          <w:i w:val="false"/>
          <w:iCs w:val="false"/>
          <w:sz w:val="20"/>
          <w:szCs w:val="20"/>
          <w:lang w:val="pt-BR" w:eastAsia="pt-BR"/>
        </w:rPr>
      </w:r>
    </w:p>
    <w:p>
      <w:pPr>
        <w:pStyle w:val="Legenda1"/>
        <w:widowControl/>
        <w:numPr>
          <w:ilvl w:val="0"/>
          <w:numId w:val="0"/>
        </w:numPr>
        <w:bidi w:val="0"/>
        <w:spacing w:before="0" w:after="0"/>
        <w:ind w:left="435" w:right="0" w:hanging="0"/>
        <w:jc w:val="center"/>
        <w:rPr>
          <w:rFonts w:ascii="Calibri" w:hAnsi="Calibri" w:cs="Times New Roman"/>
          <w:b/>
          <w:b/>
          <w:bCs/>
          <w:i w:val="false"/>
          <w:i w:val="false"/>
          <w:iCs w:val="false"/>
          <w:color w:val="000000"/>
          <w:sz w:val="20"/>
          <w:szCs w:val="20"/>
        </w:rPr>
      </w:pPr>
      <w:r>
        <w:rPr>
          <w:rFonts w:cs="Times New Roman" w:ascii="Calibri" w:hAnsi="Calibri"/>
          <w:b/>
          <w:bCs/>
          <w:i w:val="false"/>
          <w:iCs w:val="false"/>
          <w:color w:val="000000"/>
          <w:sz w:val="20"/>
          <w:szCs w:val="20"/>
        </w:rPr>
      </w:r>
    </w:p>
    <w:p>
      <w:pPr>
        <w:pStyle w:val="Legenda1"/>
        <w:widowControl/>
        <w:numPr>
          <w:ilvl w:val="0"/>
          <w:numId w:val="0"/>
        </w:numPr>
        <w:bidi w:val="0"/>
        <w:spacing w:before="0" w:after="0"/>
        <w:ind w:left="435" w:right="0" w:hanging="0"/>
        <w:jc w:val="center"/>
        <w:rPr>
          <w:rFonts w:ascii="Calibri" w:hAnsi="Calibri" w:cs="Times New Roman"/>
          <w:b/>
          <w:b/>
          <w:bCs/>
          <w:i w:val="false"/>
          <w:i w:val="false"/>
          <w:iCs w:val="false"/>
          <w:color w:val="000000"/>
          <w:sz w:val="20"/>
          <w:szCs w:val="20"/>
        </w:rPr>
      </w:pPr>
      <w:r>
        <w:rPr>
          <w:rFonts w:cs="Times New Roman" w:ascii="Calibri" w:hAnsi="Calibri"/>
          <w:b/>
          <w:bCs/>
          <w:i w:val="false"/>
          <w:iCs w:val="false"/>
          <w:color w:val="000000"/>
          <w:sz w:val="20"/>
          <w:szCs w:val="20"/>
        </w:rPr>
      </w:r>
    </w:p>
    <w:p>
      <w:pPr>
        <w:pStyle w:val="Legenda1"/>
        <w:widowControl/>
        <w:numPr>
          <w:ilvl w:val="0"/>
          <w:numId w:val="0"/>
        </w:numPr>
        <w:bidi w:val="0"/>
        <w:spacing w:before="0" w:after="0"/>
        <w:ind w:left="435" w:right="0" w:hanging="0"/>
        <w:jc w:val="center"/>
        <w:rPr>
          <w:rFonts w:ascii="Calibri" w:hAnsi="Calibri" w:cs="Times New Roman"/>
          <w:b/>
          <w:b/>
          <w:bCs/>
          <w:i w:val="false"/>
          <w:i w:val="false"/>
          <w:iCs w:val="false"/>
          <w:color w:val="000000"/>
          <w:sz w:val="20"/>
          <w:szCs w:val="20"/>
        </w:rPr>
      </w:pPr>
      <w:r>
        <w:rPr>
          <w:rFonts w:cs="Times New Roman" w:ascii="Calibri" w:hAnsi="Calibri"/>
          <w:b/>
          <w:bCs/>
          <w:i w:val="false"/>
          <w:iCs w:val="false"/>
          <w:color w:val="000000"/>
          <w:sz w:val="20"/>
          <w:szCs w:val="20"/>
        </w:rPr>
      </w:r>
    </w:p>
    <w:p>
      <w:pPr>
        <w:pStyle w:val="Legenda1"/>
        <w:widowControl/>
        <w:numPr>
          <w:ilvl w:val="0"/>
          <w:numId w:val="0"/>
        </w:numPr>
        <w:bidi w:val="0"/>
        <w:spacing w:before="0" w:after="0"/>
        <w:ind w:left="435" w:right="0" w:hanging="0"/>
        <w:jc w:val="center"/>
        <w:rPr>
          <w:rFonts w:ascii="Calibri" w:hAnsi="Calibri" w:cs="Times New Roman"/>
          <w:b/>
          <w:b/>
          <w:bCs/>
          <w:i w:val="false"/>
          <w:i w:val="false"/>
          <w:iCs w:val="false"/>
          <w:color w:val="000000"/>
          <w:sz w:val="20"/>
          <w:szCs w:val="20"/>
        </w:rPr>
      </w:pPr>
      <w:r>
        <w:rPr>
          <w:rFonts w:cs="Times New Roman" w:ascii="Calibri" w:hAnsi="Calibri"/>
          <w:b/>
          <w:bCs/>
          <w:i w:val="false"/>
          <w:iCs w:val="false"/>
          <w:color w:val="000000"/>
          <w:sz w:val="20"/>
          <w:szCs w:val="20"/>
        </w:rPr>
        <w:t>MINISTÉRIO DA DEFESA</w:t>
      </w:r>
    </w:p>
    <w:p>
      <w:pPr>
        <w:pStyle w:val="Normal"/>
        <w:widowControl/>
        <w:numPr>
          <w:ilvl w:val="0"/>
          <w:numId w:val="0"/>
        </w:numPr>
        <w:bidi w:val="0"/>
        <w:spacing w:before="0" w:after="0"/>
        <w:ind w:left="435" w:right="0" w:hanging="0"/>
        <w:jc w:val="center"/>
        <w:rPr>
          <w:rFonts w:ascii="Calibri" w:hAnsi="Calibri" w:cs="Times New Roman"/>
          <w:b/>
          <w:b/>
          <w:bCs/>
          <w:i w:val="false"/>
          <w:i w:val="false"/>
          <w:iCs w:val="false"/>
          <w:color w:val="000000"/>
          <w:sz w:val="20"/>
          <w:szCs w:val="20"/>
        </w:rPr>
      </w:pPr>
      <w:r>
        <w:rPr>
          <w:rFonts w:cs="Times New Roman" w:ascii="Calibri" w:hAnsi="Calibri"/>
          <w:b/>
          <w:bCs/>
          <w:i w:val="false"/>
          <w:iCs w:val="false"/>
          <w:color w:val="000000"/>
          <w:sz w:val="20"/>
          <w:szCs w:val="20"/>
        </w:rPr>
        <w:t>EXÉRCITO BRASILEIRO</w:t>
      </w:r>
    </w:p>
    <w:p>
      <w:pPr>
        <w:pStyle w:val="Normal"/>
        <w:widowControl/>
        <w:numPr>
          <w:ilvl w:val="0"/>
          <w:numId w:val="0"/>
        </w:numPr>
        <w:bidi w:val="0"/>
        <w:spacing w:before="0" w:after="0"/>
        <w:ind w:left="435" w:right="0" w:hanging="0"/>
        <w:jc w:val="center"/>
        <w:rPr>
          <w:rFonts w:ascii="Calibri" w:hAnsi="Calibri" w:cs="Times New Roman"/>
          <w:b/>
          <w:b/>
          <w:bCs/>
          <w:i w:val="false"/>
          <w:i w:val="false"/>
          <w:iCs w:val="false"/>
          <w:color w:val="000000"/>
          <w:sz w:val="20"/>
          <w:szCs w:val="20"/>
        </w:rPr>
      </w:pPr>
      <w:r>
        <w:rPr>
          <w:rFonts w:cs="Times New Roman" w:ascii="Calibri" w:hAnsi="Calibri"/>
          <w:b/>
          <w:bCs/>
          <w:i w:val="false"/>
          <w:iCs w:val="false"/>
          <w:color w:val="000000"/>
          <w:sz w:val="20"/>
          <w:szCs w:val="20"/>
        </w:rPr>
        <w:t>1º BATALHÃO FERROVIÁRIO</w:t>
      </w:r>
    </w:p>
    <w:p>
      <w:pPr>
        <w:pStyle w:val="Normal"/>
        <w:widowControl/>
        <w:numPr>
          <w:ilvl w:val="0"/>
          <w:numId w:val="0"/>
        </w:numPr>
        <w:bidi w:val="0"/>
        <w:spacing w:before="0" w:after="0"/>
        <w:ind w:left="435" w:right="0" w:hanging="0"/>
        <w:jc w:val="center"/>
        <w:rPr/>
      </w:pPr>
      <w:r>
        <w:rPr>
          <w:rStyle w:val="Fontepargpadro"/>
          <w:rFonts w:cs="Times New Roman" w:ascii="Calibri" w:hAnsi="Calibri"/>
          <w:b/>
          <w:bCs/>
          <w:i w:val="false"/>
          <w:iCs w:val="false"/>
          <w:color w:val="000000"/>
          <w:sz w:val="20"/>
          <w:szCs w:val="20"/>
        </w:rPr>
        <w:t>(Batalhão de Engenheiros/1885 – 1</w:t>
      </w:r>
      <w:r>
        <w:rPr>
          <w:rStyle w:val="Fontepargpadro"/>
          <w:rFonts w:cs="Times New Roman" w:ascii="Calibri" w:hAnsi="Calibri"/>
          <w:b/>
          <w:bCs/>
          <w:i w:val="false"/>
          <w:iCs w:val="false"/>
          <w:color w:val="000000"/>
          <w:position w:val="5"/>
          <w:sz w:val="20"/>
          <w:szCs w:val="20"/>
        </w:rPr>
        <w:t>o</w:t>
      </w:r>
      <w:r>
        <w:rPr>
          <w:rStyle w:val="Fontepargpadro"/>
          <w:rFonts w:cs="Times New Roman" w:ascii="Calibri" w:hAnsi="Calibri"/>
          <w:b/>
          <w:bCs/>
          <w:i w:val="false"/>
          <w:iCs w:val="false"/>
          <w:color w:val="000000"/>
          <w:sz w:val="20"/>
          <w:szCs w:val="20"/>
        </w:rPr>
        <w:t xml:space="preserve"> Batalhão Ferroviário/1920)</w:t>
      </w:r>
    </w:p>
    <w:p>
      <w:pPr>
        <w:pStyle w:val="Normal"/>
        <w:widowControl/>
        <w:numPr>
          <w:ilvl w:val="0"/>
          <w:numId w:val="0"/>
        </w:numPr>
        <w:bidi w:val="0"/>
        <w:spacing w:lineRule="auto" w:line="276" w:before="0" w:after="0"/>
        <w:ind w:left="435" w:right="0" w:hanging="0"/>
        <w:jc w:val="center"/>
        <w:rPr>
          <w:rFonts w:cs="Arial"/>
          <w:b/>
          <w:b/>
          <w:bCs/>
          <w:i/>
          <w:i/>
          <w:iCs/>
          <w:color w:val="FF0000"/>
          <w:szCs w:val="20"/>
        </w:rPr>
      </w:pPr>
      <w:r>
        <w:rPr>
          <w:rStyle w:val="Fontepargpadro"/>
          <w:rFonts w:cs="Times New Roman" w:ascii="Calibri" w:hAnsi="Calibri"/>
          <w:b/>
          <w:bCs/>
          <w:i w:val="false"/>
          <w:iCs w:val="false"/>
          <w:color w:val="000000"/>
          <w:sz w:val="20"/>
          <w:szCs w:val="24"/>
        </w:rPr>
        <w:t>BATALHÃO BENJAMIN CONSTANT</w:t>
      </w:r>
    </w:p>
    <w:p>
      <w:pPr>
        <w:pStyle w:val="Ttulododocumento"/>
        <w:jc w:val="center"/>
        <w:rPr>
          <w:rFonts w:ascii="Calibri" w:hAnsi="Calibri"/>
          <w:i w:val="false"/>
          <w:i w:val="false"/>
          <w:iCs w:val="false"/>
        </w:rPr>
      </w:pPr>
      <w:r>
        <w:rPr>
          <w:rFonts w:ascii="Calibri" w:hAnsi="Calibri"/>
          <w:i w:val="false"/>
          <w:iCs w:val="false"/>
        </w:rPr>
      </w:r>
    </w:p>
    <w:p>
      <w:pPr>
        <w:pStyle w:val="Ttulododocumento"/>
        <w:jc w:val="center"/>
        <w:rPr>
          <w:rFonts w:ascii="Calibri" w:hAnsi="Calibri"/>
          <w:b/>
          <w:b/>
          <w:bCs/>
          <w:i w:val="false"/>
          <w:i w:val="false"/>
          <w:iCs w:val="false"/>
          <w:u w:val="single"/>
        </w:rPr>
      </w:pPr>
      <w:r>
        <w:rPr>
          <w:rFonts w:cs="Arial" w:ascii="Calibri" w:hAnsi="Calibri"/>
          <w:b/>
          <w:bCs/>
          <w:i w:val="false"/>
          <w:iCs w:val="false"/>
          <w:sz w:val="24"/>
          <w:szCs w:val="24"/>
          <w:u w:val="single"/>
        </w:rPr>
        <w:t>ANEXO I</w:t>
      </w:r>
    </w:p>
    <w:p>
      <w:pPr>
        <w:pStyle w:val="Ttulododocumento"/>
        <w:jc w:val="center"/>
        <w:rPr>
          <w:rFonts w:ascii="Calibri" w:hAnsi="Calibri"/>
          <w:b/>
          <w:b/>
          <w:bCs/>
          <w:i w:val="false"/>
          <w:i w:val="false"/>
          <w:iCs w:val="false"/>
          <w:u w:val="single"/>
        </w:rPr>
      </w:pPr>
      <w:r>
        <w:rPr>
          <w:rFonts w:cs="Arial" w:ascii="Calibri" w:hAnsi="Calibri"/>
          <w:b/>
          <w:bCs/>
          <w:i w:val="false"/>
          <w:iCs w:val="false"/>
          <w:sz w:val="24"/>
          <w:szCs w:val="24"/>
          <w:u w:val="single"/>
        </w:rPr>
        <w:t>DOCUMENTAÇÃO EXIGIDA PARA HABILITAÇÃO</w:t>
      </w:r>
    </w:p>
    <w:p>
      <w:pPr>
        <w:pStyle w:val="Normal"/>
        <w:rPr>
          <w:rFonts w:ascii="Calibri" w:hAnsi="Calibri" w:cs="Arial"/>
          <w:i w:val="false"/>
          <w:i w:val="false"/>
          <w:iCs w:val="false"/>
          <w:sz w:val="24"/>
          <w:lang w:eastAsia="en-US"/>
        </w:rPr>
      </w:pPr>
      <w:r>
        <w:rPr>
          <w:rFonts w:cs="Arial" w:ascii="Calibri" w:hAnsi="Calibri"/>
          <w:i w:val="false"/>
          <w:iCs w:val="false"/>
          <w:sz w:val="24"/>
          <w:lang w:eastAsia="en-US"/>
        </w:rPr>
      </w:r>
    </w:p>
    <w:p>
      <w:pPr>
        <w:pStyle w:val="PADRO"/>
        <w:keepNext w:val="false"/>
        <w:widowControl/>
        <w:numPr>
          <w:ilvl w:val="0"/>
          <w:numId w:val="2"/>
        </w:numPr>
        <w:shd w:val="clear" w:fill="FFFFFF"/>
        <w:spacing w:lineRule="auto" w:line="276" w:before="113" w:after="113"/>
        <w:rPr>
          <w:rFonts w:ascii="Calibri" w:hAnsi="Calibri"/>
          <w:i w:val="false"/>
          <w:i w:val="false"/>
          <w:iCs w:val="false"/>
        </w:rPr>
      </w:pPr>
      <w:r>
        <w:rPr>
          <w:rFonts w:cs="Arial" w:ascii="Calibri" w:hAnsi="Calibri"/>
          <w:b/>
          <w:bCs/>
          <w:i w:val="false"/>
          <w:iCs w:val="false"/>
          <w:color w:val="000000"/>
          <w:sz w:val="24"/>
        </w:rPr>
        <w:t xml:space="preserve">Habilitação jurídica: </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sz w:val="24"/>
        </w:rPr>
        <w:t>no caso de empresário individual, inscrição no Registro Público de Empresas Mercantis, a cargo da Junta Comercial da respectiva sede;</w:t>
      </w:r>
    </w:p>
    <w:p>
      <w:pPr>
        <w:pStyle w:val="ListParagraph"/>
        <w:numPr>
          <w:ilvl w:val="1"/>
          <w:numId w:val="2"/>
        </w:numPr>
        <w:tabs>
          <w:tab w:val="clear" w:pos="708"/>
          <w:tab w:val="left" w:pos="1440" w:leader="none"/>
        </w:tabs>
        <w:snapToGrid w:val="false"/>
        <w:spacing w:lineRule="auto" w:line="276" w:before="113" w:after="113"/>
        <w:contextualSpacing/>
        <w:jc w:val="both"/>
        <w:rPr>
          <w:rFonts w:ascii="Calibri" w:hAnsi="Calibri"/>
          <w:i w:val="false"/>
          <w:i w:val="false"/>
          <w:iCs w:val="false"/>
        </w:rPr>
      </w:pPr>
      <w:r>
        <w:rPr>
          <w:rFonts w:cs="Arial" w:ascii="Calibri" w:hAnsi="Calibri"/>
          <w:i w:val="false"/>
          <w:iCs w:val="false"/>
          <w:color w:val="000000"/>
          <w:sz w:val="24"/>
        </w:rPr>
        <w:t>Em se tratando de Microempreendedor Individual – MEI: Certificado da Condição de Microempreendedor Individual - CCMEI, cuja aceitação ficará condicionada à verificação da autenticidade no sítio www.portaldoempreendedor.gov.br;</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color w:val="000000"/>
          <w:sz w:val="24"/>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color w:val="000000"/>
          <w:sz w:val="24"/>
        </w:rPr>
        <w:t>inscrição no Registro Público de Empresas Mercantis onde opera, com averbação no Registro onde tem sede a matriz, no caso de ser o participante sucursal, filial ou agência;</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color w:val="000000"/>
          <w:sz w:val="24"/>
        </w:rPr>
        <w:t>No caso de sociedade simples: inscrição do ato constitutivo no Registro Civil das Pessoas Jurídicas do local de sua sede, acompanhada de prova da indicação dos seus administradores;</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color w:val="000000"/>
          <w:sz w:val="24"/>
        </w:rPr>
        <w:t>decreto de autorização, em se tratando de sociedade empresária estrangeira em funcionamento no País;</w:t>
      </w:r>
    </w:p>
    <w:p>
      <w:pPr>
        <w:pStyle w:val="ListParagraph"/>
        <w:numPr>
          <w:ilvl w:val="1"/>
          <w:numId w:val="2"/>
        </w:numPr>
        <w:spacing w:lineRule="auto" w:line="276" w:before="113" w:after="227"/>
        <w:contextualSpacing/>
        <w:jc w:val="both"/>
        <w:rPr>
          <w:rFonts w:ascii="Calibri" w:hAnsi="Calibri"/>
          <w:i w:val="false"/>
          <w:i w:val="false"/>
          <w:iCs w:val="false"/>
        </w:rPr>
      </w:pPr>
      <w:r>
        <w:rPr>
          <w:rFonts w:cs="Arial" w:ascii="Calibri" w:hAnsi="Calibri"/>
          <w:bCs/>
          <w:i w:val="false"/>
          <w:iCs w:val="false"/>
          <w:color w:val="000000"/>
          <w:sz w:val="24"/>
        </w:rPr>
        <w:t>Os documentos acima deverão estar acompanhados de todas as alterações ou da consolidação respectiva.</w:t>
      </w:r>
    </w:p>
    <w:p>
      <w:pPr>
        <w:pStyle w:val="PADRO"/>
        <w:keepNext w:val="false"/>
        <w:widowControl/>
        <w:numPr>
          <w:ilvl w:val="0"/>
          <w:numId w:val="2"/>
        </w:numPr>
        <w:shd w:val="clear" w:fill="FFFFFF"/>
        <w:spacing w:lineRule="auto" w:line="276" w:before="113" w:after="113"/>
        <w:rPr>
          <w:rFonts w:ascii="Calibri" w:hAnsi="Calibri"/>
          <w:i w:val="false"/>
          <w:i w:val="false"/>
          <w:iCs w:val="false"/>
        </w:rPr>
      </w:pPr>
      <w:r>
        <w:rPr>
          <w:rFonts w:cs="Arial" w:ascii="Calibri" w:hAnsi="Calibri"/>
          <w:b/>
          <w:bCs/>
          <w:i w:val="false"/>
          <w:iCs w:val="false"/>
          <w:color w:val="000000"/>
          <w:sz w:val="24"/>
        </w:rPr>
        <w:t xml:space="preserve"> </w:t>
      </w:r>
      <w:r>
        <w:rPr>
          <w:rFonts w:cs="Arial" w:ascii="Calibri" w:hAnsi="Calibri"/>
          <w:b/>
          <w:bCs/>
          <w:i w:val="false"/>
          <w:iCs w:val="false"/>
          <w:color w:val="000000"/>
          <w:sz w:val="24"/>
        </w:rPr>
        <w:t>Regularidade fiscal, social e trabalhista:</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sz w:val="24"/>
          <w:lang w:eastAsia="en-US"/>
        </w:rPr>
        <w:t>prova de inscrição no Cadastro Nacional de Pessoas Jurídicas ou no Cadastro de Pessoas Físicas, conforme o caso;</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sz w:val="24"/>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color w:val="000000"/>
          <w:sz w:val="24"/>
          <w:lang w:eastAsia="en-US"/>
        </w:rPr>
        <w:t>prova de regularidade com o Fundo de Garantia do Tempo de Serviço (FGTS);</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sz w:val="24"/>
          <w:lang w:eastAsia="en-US"/>
        </w:rPr>
        <w:t>prova de inexistência de débitos inadimplidos perante a Justiça do Trabalho, mediante a apresentação de certidão negativa ou positiva com efeito de negativa, nos term</w:t>
      </w:r>
      <w:r>
        <w:rPr>
          <w:rFonts w:cs="Arial" w:ascii="Calibri" w:hAnsi="Calibri"/>
          <w:i w:val="false"/>
          <w:iCs w:val="false"/>
          <w:color w:val="000000"/>
          <w:sz w:val="24"/>
          <w:lang w:eastAsia="en-US"/>
        </w:rPr>
        <w:t>os do Título VII-A da Consolidação das Leis do Trabalho, aprovada pelo Decreto-Lei nº 5.452, de 1º de maio de 1943;</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color w:val="000000"/>
        </w:rPr>
      </w:pPr>
      <w:r>
        <w:rPr>
          <w:rFonts w:cs="Arial" w:ascii="Calibri" w:hAnsi="Calibri"/>
          <w:bCs/>
          <w:i w:val="false"/>
          <w:iCs w:val="false"/>
          <w:color w:val="000000"/>
          <w:sz w:val="24"/>
        </w:rPr>
        <w:t xml:space="preserve">prova de </w:t>
      </w:r>
      <w:r>
        <w:rPr>
          <w:rFonts w:cs="Arial" w:ascii="Calibri" w:hAnsi="Calibri"/>
          <w:i w:val="false"/>
          <w:iCs w:val="false"/>
          <w:color w:val="000000"/>
          <w:sz w:val="24"/>
        </w:rPr>
        <w:t>inscrição no cadastro de contribuintes estadual, relativo ao domicílio ou sede do fornecedor, pertinente ao seu ramo de atividade e compatível com o objeto contratual</w:t>
      </w:r>
      <w:r>
        <w:rPr>
          <w:rFonts w:cs="Arial" w:ascii="Calibri" w:hAnsi="Calibri"/>
          <w:bCs/>
          <w:i w:val="false"/>
          <w:iCs w:val="false"/>
          <w:color w:val="000000"/>
          <w:sz w:val="24"/>
        </w:rPr>
        <w:t xml:space="preserve">; </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color w:val="000000"/>
        </w:rPr>
      </w:pPr>
      <w:r>
        <w:rPr>
          <w:rFonts w:cs="Arial" w:ascii="Calibri" w:hAnsi="Calibri"/>
          <w:i w:val="false"/>
          <w:iCs w:val="false"/>
          <w:color w:val="000000"/>
          <w:sz w:val="24"/>
        </w:rPr>
        <w:t xml:space="preserve">prova de regularidade com a Fazenda Estadual do domicílio ou sede do fornecedor, relativa à atividade em cujo exercício contrata ou concorre; </w:t>
      </w:r>
    </w:p>
    <w:p>
      <w:pPr>
        <w:pStyle w:val="Normal"/>
        <w:numPr>
          <w:ilvl w:val="1"/>
          <w:numId w:val="2"/>
        </w:numPr>
        <w:tabs>
          <w:tab w:val="clear" w:pos="708"/>
          <w:tab w:val="left" w:pos="1440" w:leader="none"/>
        </w:tabs>
        <w:snapToGrid w:val="false"/>
        <w:spacing w:lineRule="auto" w:line="276" w:before="113" w:after="227"/>
        <w:jc w:val="both"/>
        <w:rPr>
          <w:rFonts w:ascii="Calibri" w:hAnsi="Calibri"/>
          <w:i w:val="false"/>
          <w:i w:val="false"/>
          <w:iCs w:val="false"/>
          <w:color w:val="000000"/>
        </w:rPr>
      </w:pPr>
      <w:r>
        <w:rPr>
          <w:rFonts w:cs="Arial" w:ascii="Calibri" w:hAnsi="Calibri"/>
          <w:i w:val="false"/>
          <w:iCs w:val="false"/>
          <w:color w:val="000000"/>
          <w:sz w:val="24"/>
        </w:rPr>
        <w:t xml:space="preserve">caso o fornecedor seja considerado isento dos tributos estaduais relacionados ao objeto contratual, deverá comprovar tal condição mediante a apresentação de declaração da Fazenda respectiva do seu domicílio ou sede, ou outra equivalente, na forma da lei; </w:t>
      </w:r>
    </w:p>
    <w:p>
      <w:pPr>
        <w:pStyle w:val="PADRO"/>
        <w:keepNext w:val="false"/>
        <w:widowControl/>
        <w:numPr>
          <w:ilvl w:val="0"/>
          <w:numId w:val="2"/>
        </w:numPr>
        <w:shd w:val="clear" w:fill="FFFFFF"/>
        <w:spacing w:lineRule="auto" w:line="276" w:before="113" w:after="113"/>
        <w:rPr>
          <w:rFonts w:ascii="Calibri" w:hAnsi="Calibri"/>
          <w:i w:val="false"/>
          <w:i w:val="false"/>
          <w:iCs w:val="false"/>
          <w:color w:val="000000"/>
        </w:rPr>
      </w:pPr>
      <w:r>
        <w:rPr>
          <w:rFonts w:cs="Arial" w:ascii="Calibri" w:hAnsi="Calibri"/>
          <w:b/>
          <w:i w:val="false"/>
          <w:iCs w:val="false"/>
          <w:color w:val="000000"/>
          <w:sz w:val="24"/>
        </w:rPr>
        <w:t>Qualificação Econômico-Financeira:</w:t>
      </w:r>
      <w:r>
        <w:rPr>
          <w:rFonts w:cs="Arial" w:ascii="Calibri" w:hAnsi="Calibri"/>
          <w:b/>
          <w:bCs/>
          <w:i w:val="false"/>
          <w:iCs w:val="false"/>
          <w:color w:val="000000"/>
          <w:sz w:val="24"/>
        </w:rPr>
        <w:t xml:space="preserve"> </w:t>
      </w:r>
    </w:p>
    <w:p>
      <w:pPr>
        <w:pStyle w:val="ListParagraph"/>
        <w:numPr>
          <w:ilvl w:val="1"/>
          <w:numId w:val="2"/>
        </w:numPr>
        <w:tabs>
          <w:tab w:val="clear" w:pos="708"/>
          <w:tab w:val="left" w:pos="1440" w:leader="none"/>
        </w:tabs>
        <w:snapToGrid w:val="false"/>
        <w:spacing w:lineRule="auto" w:line="276" w:before="113" w:after="113"/>
        <w:contextualSpacing/>
        <w:jc w:val="both"/>
        <w:rPr>
          <w:rFonts w:ascii="Calibri" w:hAnsi="Calibri"/>
          <w:i w:val="false"/>
          <w:i w:val="false"/>
          <w:iCs w:val="false"/>
        </w:rPr>
      </w:pPr>
      <w:r>
        <w:rPr>
          <w:rFonts w:cs="Arial" w:ascii="Calibri" w:hAnsi="Calibri"/>
          <w:i w:val="false"/>
          <w:iCs w:val="false"/>
          <w:color w:val="000000"/>
          <w:sz w:val="24"/>
        </w:rPr>
        <w:t>certidão negativa de falência expedida pelo distribuidor da sede do fornecedor;</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color w:val="000000"/>
          <w:sz w:val="24"/>
        </w:rPr>
        <w:t>balanço patrimonial, demonstração de resultado de exercício e demais demonstrações contábeis dos 2 (dois) últimos exercícios sociais;</w:t>
      </w:r>
    </w:p>
    <w:p>
      <w:pPr>
        <w:pStyle w:val="Normal"/>
        <w:numPr>
          <w:ilvl w:val="2"/>
          <w:numId w:val="2"/>
        </w:numPr>
        <w:spacing w:lineRule="auto" w:line="276" w:before="113" w:after="113"/>
        <w:jc w:val="both"/>
        <w:rPr>
          <w:rFonts w:ascii="Calibri" w:hAnsi="Calibri"/>
          <w:i w:val="false"/>
          <w:i w:val="false"/>
          <w:iCs w:val="false"/>
        </w:rPr>
      </w:pPr>
      <w:r>
        <w:rPr>
          <w:rFonts w:cs="Arial" w:ascii="Calibri" w:hAnsi="Calibri"/>
          <w:i w:val="false"/>
          <w:iCs w:val="false"/>
          <w:color w:val="000000"/>
          <w:sz w:val="24"/>
        </w:rPr>
        <w:t>As empresas criadas no exercício financeiro da dispensa deverão atender a todas as exigências da habilitação e poderão substituir os demonstrativos contábeis pelo balanço de abertura.</w:t>
      </w:r>
    </w:p>
    <w:p>
      <w:pPr>
        <w:pStyle w:val="Normal"/>
        <w:numPr>
          <w:ilvl w:val="2"/>
          <w:numId w:val="2"/>
        </w:numPr>
        <w:spacing w:lineRule="auto" w:line="276" w:before="113" w:after="113"/>
        <w:jc w:val="both"/>
        <w:rPr>
          <w:rFonts w:ascii="Calibri" w:hAnsi="Calibri"/>
          <w:i w:val="false"/>
          <w:i w:val="false"/>
          <w:iCs w:val="false"/>
        </w:rPr>
      </w:pPr>
      <w:r>
        <w:rPr>
          <w:rFonts w:cs="Arial" w:ascii="Calibri" w:hAnsi="Calibri"/>
          <w:i w:val="false"/>
          <w:iCs w:val="false"/>
          <w:color w:val="000000"/>
          <w:sz w:val="24"/>
        </w:rPr>
        <w:t>Os documentos referidos acima limitar-se-ão ao último exercício no caso de a pessoa jurídica ter sido constituída há menos de 2 (dois) anos.</w:t>
      </w:r>
    </w:p>
    <w:p>
      <w:pPr>
        <w:pStyle w:val="Normal"/>
        <w:numPr>
          <w:ilvl w:val="1"/>
          <w:numId w:val="2"/>
        </w:numPr>
        <w:tabs>
          <w:tab w:val="clear" w:pos="708"/>
          <w:tab w:val="left" w:pos="1440" w:leader="none"/>
        </w:tabs>
        <w:snapToGrid w:val="false"/>
        <w:spacing w:lineRule="auto" w:line="276" w:before="113" w:after="113"/>
        <w:jc w:val="both"/>
        <w:rPr>
          <w:rFonts w:ascii="Calibri" w:hAnsi="Calibri"/>
          <w:i w:val="false"/>
          <w:i w:val="false"/>
          <w:iCs w:val="false"/>
        </w:rPr>
      </w:pPr>
      <w:r>
        <w:rPr>
          <w:rFonts w:cs="Arial" w:ascii="Calibri" w:hAnsi="Calibri"/>
          <w:i w:val="false"/>
          <w:iCs w:val="false"/>
          <w:color w:val="000000"/>
          <w:sz w:val="24"/>
        </w:rPr>
        <w:t xml:space="preserve">comprovação da boa situação financeira da empresa mediante obtenção de índices de Liquidez Geral (LG), Solvência Geral (SG) e Liquidez Corrente (LC), superiores a 1 (um), obtidos pela aplicação das seguintes fórmulas: </w:t>
      </w:r>
    </w:p>
    <w:tbl>
      <w:tblPr>
        <w:tblStyle w:val="Tabelacomgrade"/>
        <w:tblW w:w="6487" w:type="dxa"/>
        <w:jc w:val="left"/>
        <w:tblInd w:w="1134" w:type="dxa"/>
        <w:tblCellMar>
          <w:top w:w="0" w:type="dxa"/>
          <w:left w:w="108" w:type="dxa"/>
          <w:bottom w:w="0" w:type="dxa"/>
          <w:right w:w="108" w:type="dxa"/>
        </w:tblCellMar>
        <w:tblLook w:val="04a0" w:noHBand="0" w:noVBand="1" w:firstColumn="1" w:lastRow="0" w:lastColumn="0" w:firstRow="1"/>
      </w:tblPr>
      <w:tblGrid>
        <w:gridCol w:w="2234"/>
        <w:gridCol w:w="4252"/>
      </w:tblGrid>
      <w:tr>
        <w:trPr/>
        <w:tc>
          <w:tcPr>
            <w:tcW w:w="2234" w:type="dxa"/>
            <w:vMerge w:val="restart"/>
            <w:tcBorders>
              <w:top w:val="nil"/>
              <w:left w:val="nil"/>
              <w:bottom w:val="nil"/>
              <w:right w:val="nil"/>
            </w:tcBorders>
            <w:vAlign w:val="center"/>
          </w:tcPr>
          <w:p>
            <w:pPr>
              <w:pStyle w:val="Normal"/>
              <w:tabs>
                <w:tab w:val="clear" w:pos="708"/>
                <w:tab w:val="left" w:pos="1440" w:leader="none"/>
              </w:tabs>
              <w:snapToGrid w:val="false"/>
              <w:spacing w:lineRule="auto" w:line="276"/>
              <w:jc w:val="both"/>
              <w:rPr>
                <w:rFonts w:ascii="Calibri" w:hAnsi="Calibri" w:eastAsia="" w:cs="Times New Roman" w:eastAsiaTheme="minorEastAsia"/>
                <w:i w:val="false"/>
                <w:i w:val="false"/>
                <w:iCs w:val="false"/>
                <w:szCs w:val="20"/>
              </w:rPr>
            </w:pPr>
            <w:r>
              <w:rPr>
                <w:rFonts w:eastAsia="" w:cs="Arial" w:ascii="Calibri" w:hAnsi="Calibri" w:eastAsiaTheme="minorEastAsia"/>
                <w:i w:val="false"/>
                <w:iCs w:val="false"/>
                <w:color w:val="000000"/>
                <w:sz w:val="24"/>
                <w:szCs w:val="20"/>
              </w:rPr>
              <w:t>LG =</w:t>
            </w:r>
          </w:p>
        </w:tc>
        <w:tc>
          <w:tcPr>
            <w:tcW w:w="4252" w:type="dxa"/>
            <w:tcBorders>
              <w:top w:val="nil"/>
              <w:left w:val="nil"/>
              <w:right w:val="nil"/>
            </w:tcBorders>
            <w:vAlign w:val="bottom"/>
          </w:tcPr>
          <w:p>
            <w:pPr>
              <w:pStyle w:val="Normal"/>
              <w:tabs>
                <w:tab w:val="clear" w:pos="708"/>
                <w:tab w:val="left" w:pos="1440" w:leader="none"/>
              </w:tabs>
              <w:snapToGrid w:val="false"/>
              <w:spacing w:lineRule="auto" w:line="276"/>
              <w:jc w:val="both"/>
              <w:rPr>
                <w:rFonts w:ascii="Calibri" w:hAnsi="Calibri" w:eastAsia="" w:cs="Times New Roman" w:eastAsiaTheme="minorEastAsia"/>
                <w:i w:val="false"/>
                <w:i w:val="false"/>
                <w:iCs w:val="false"/>
                <w:szCs w:val="20"/>
              </w:rPr>
            </w:pPr>
            <w:r>
              <w:rPr>
                <w:rFonts w:eastAsia="" w:cs="Arial" w:ascii="Calibri" w:hAnsi="Calibri" w:eastAsiaTheme="minorEastAsia"/>
                <w:i w:val="false"/>
                <w:iCs w:val="false"/>
                <w:color w:val="000000"/>
                <w:sz w:val="24"/>
                <w:szCs w:val="20"/>
              </w:rPr>
              <w:t>Ativo Circulante + Realizável a Longo Prazo</w:t>
            </w:r>
          </w:p>
        </w:tc>
      </w:tr>
      <w:tr>
        <w:trPr/>
        <w:tc>
          <w:tcPr>
            <w:tcW w:w="2234" w:type="dxa"/>
            <w:vMerge w:val="continue"/>
            <w:tcBorders>
              <w:top w:val="nil"/>
              <w:left w:val="nil"/>
              <w:bottom w:val="nil"/>
              <w:right w:val="nil"/>
            </w:tcBorders>
          </w:tcPr>
          <w:p>
            <w:pPr>
              <w:pStyle w:val="Normal"/>
              <w:tabs>
                <w:tab w:val="clear" w:pos="708"/>
                <w:tab w:val="left" w:pos="1440" w:leader="none"/>
              </w:tabs>
              <w:snapToGrid w:val="false"/>
              <w:spacing w:lineRule="auto" w:line="276"/>
              <w:jc w:val="both"/>
              <w:rPr>
                <w:rFonts w:ascii="Calibri" w:hAnsi="Calibri" w:eastAsia="" w:cs="Arial"/>
                <w:i w:val="false"/>
                <w:i w:val="false"/>
                <w:iCs w:val="false"/>
                <w:color w:val="000000"/>
                <w:sz w:val="24"/>
                <w:szCs w:val="20"/>
              </w:rPr>
            </w:pPr>
            <w:r>
              <w:rPr>
                <w:rFonts w:eastAsia="" w:cs="Arial" w:ascii="Calibri" w:hAnsi="Calibri"/>
                <w:i w:val="false"/>
                <w:iCs w:val="false"/>
                <w:color w:val="000000"/>
                <w:sz w:val="24"/>
                <w:szCs w:val="20"/>
              </w:rPr>
            </w:r>
          </w:p>
        </w:tc>
        <w:tc>
          <w:tcPr>
            <w:tcW w:w="4252" w:type="dxa"/>
            <w:tcBorders>
              <w:left w:val="nil"/>
              <w:bottom w:val="nil"/>
              <w:right w:val="nil"/>
            </w:tcBorders>
          </w:tcPr>
          <w:p>
            <w:pPr>
              <w:pStyle w:val="Normal"/>
              <w:tabs>
                <w:tab w:val="clear" w:pos="708"/>
                <w:tab w:val="left" w:pos="1440" w:leader="none"/>
              </w:tabs>
              <w:snapToGrid w:val="false"/>
              <w:spacing w:lineRule="auto" w:line="276"/>
              <w:jc w:val="both"/>
              <w:rPr>
                <w:rFonts w:ascii="Calibri" w:hAnsi="Calibri" w:eastAsia="" w:cs="Times New Roman" w:eastAsiaTheme="minorEastAsia"/>
                <w:i w:val="false"/>
                <w:i w:val="false"/>
                <w:iCs w:val="false"/>
                <w:szCs w:val="20"/>
              </w:rPr>
            </w:pPr>
            <w:r>
              <w:rPr>
                <w:rFonts w:eastAsia="" w:cs="Arial" w:ascii="Calibri" w:hAnsi="Calibri" w:eastAsiaTheme="minorEastAsia"/>
                <w:i w:val="false"/>
                <w:iCs w:val="false"/>
                <w:color w:val="000000"/>
                <w:sz w:val="24"/>
                <w:szCs w:val="20"/>
              </w:rPr>
              <w:t>Passivo Circulante + Passivo Não Circulante</w:t>
            </w:r>
          </w:p>
        </w:tc>
      </w:tr>
    </w:tbl>
    <w:p>
      <w:pPr>
        <w:pStyle w:val="Normal"/>
        <w:tabs>
          <w:tab w:val="clear" w:pos="708"/>
          <w:tab w:val="left" w:pos="1440" w:leader="none"/>
        </w:tabs>
        <w:snapToGrid w:val="false"/>
        <w:spacing w:lineRule="auto" w:line="276"/>
        <w:ind w:left="1134" w:hanging="0"/>
        <w:jc w:val="both"/>
        <w:rPr>
          <w:rFonts w:ascii="Calibri" w:hAnsi="Calibri" w:cs="Arial"/>
          <w:i w:val="false"/>
          <w:i w:val="false"/>
          <w:iCs w:val="false"/>
          <w:color w:val="000000"/>
          <w:sz w:val="24"/>
        </w:rPr>
      </w:pPr>
      <w:r>
        <w:rPr>
          <w:rFonts w:cs="Arial" w:ascii="Calibri" w:hAnsi="Calibri"/>
          <w:i w:val="false"/>
          <w:iCs w:val="false"/>
          <w:color w:val="000000"/>
          <w:sz w:val="24"/>
        </w:rPr>
      </w:r>
    </w:p>
    <w:tbl>
      <w:tblPr>
        <w:tblStyle w:val="Tabelacomgrade"/>
        <w:tblW w:w="6629" w:type="dxa"/>
        <w:jc w:val="left"/>
        <w:tblInd w:w="1134" w:type="dxa"/>
        <w:tblCellMar>
          <w:top w:w="0" w:type="dxa"/>
          <w:left w:w="108" w:type="dxa"/>
          <w:bottom w:w="0" w:type="dxa"/>
          <w:right w:w="108" w:type="dxa"/>
        </w:tblCellMar>
        <w:tblLook w:val="04a0" w:noHBand="0" w:noVBand="1" w:firstColumn="1" w:lastRow="0" w:lastColumn="0" w:firstRow="1"/>
      </w:tblPr>
      <w:tblGrid>
        <w:gridCol w:w="2234"/>
        <w:gridCol w:w="4394"/>
      </w:tblGrid>
      <w:tr>
        <w:trPr>
          <w:cantSplit w:val="true"/>
        </w:trPr>
        <w:tc>
          <w:tcPr>
            <w:tcW w:w="2234" w:type="dxa"/>
            <w:vMerge w:val="restart"/>
            <w:tcBorders>
              <w:top w:val="nil"/>
              <w:left w:val="nil"/>
              <w:bottom w:val="nil"/>
              <w:right w:val="nil"/>
            </w:tcBorders>
            <w:vAlign w:val="center"/>
          </w:tcPr>
          <w:p>
            <w:pPr>
              <w:pStyle w:val="Normal"/>
              <w:tabs>
                <w:tab w:val="clear" w:pos="708"/>
                <w:tab w:val="left" w:pos="1440" w:leader="none"/>
              </w:tabs>
              <w:snapToGrid w:val="false"/>
              <w:spacing w:lineRule="auto" w:line="276"/>
              <w:jc w:val="both"/>
              <w:rPr>
                <w:rFonts w:ascii="Calibri" w:hAnsi="Calibri" w:eastAsia="" w:cs="Times New Roman" w:eastAsiaTheme="minorEastAsia"/>
                <w:i w:val="false"/>
                <w:i w:val="false"/>
                <w:iCs w:val="false"/>
                <w:szCs w:val="20"/>
              </w:rPr>
            </w:pPr>
            <w:r>
              <w:rPr>
                <w:rFonts w:eastAsia="" w:cs="Arial" w:ascii="Calibri" w:hAnsi="Calibri" w:eastAsiaTheme="minorEastAsia"/>
                <w:i w:val="false"/>
                <w:iCs w:val="false"/>
                <w:color w:val="000000"/>
                <w:sz w:val="24"/>
                <w:szCs w:val="20"/>
              </w:rPr>
              <w:t>SG =</w:t>
            </w:r>
          </w:p>
        </w:tc>
        <w:tc>
          <w:tcPr>
            <w:tcW w:w="4394" w:type="dxa"/>
            <w:tcBorders>
              <w:top w:val="nil"/>
              <w:left w:val="nil"/>
              <w:right w:val="nil"/>
            </w:tcBorders>
            <w:vAlign w:val="bottom"/>
          </w:tcPr>
          <w:p>
            <w:pPr>
              <w:pStyle w:val="Normal"/>
              <w:tabs>
                <w:tab w:val="clear" w:pos="708"/>
                <w:tab w:val="left" w:pos="1440" w:leader="none"/>
              </w:tabs>
              <w:snapToGrid w:val="false"/>
              <w:spacing w:lineRule="auto" w:line="276"/>
              <w:jc w:val="both"/>
              <w:rPr>
                <w:rFonts w:ascii="Calibri" w:hAnsi="Calibri" w:eastAsia="" w:cs="Times New Roman" w:eastAsiaTheme="minorEastAsia"/>
                <w:i w:val="false"/>
                <w:i w:val="false"/>
                <w:iCs w:val="false"/>
                <w:szCs w:val="20"/>
              </w:rPr>
            </w:pPr>
            <w:r>
              <w:rPr>
                <w:rFonts w:eastAsia="" w:cs="Arial" w:ascii="Calibri" w:hAnsi="Calibri" w:eastAsiaTheme="minorEastAsia"/>
                <w:i w:val="false"/>
                <w:iCs w:val="false"/>
                <w:color w:val="000000"/>
                <w:sz w:val="24"/>
                <w:szCs w:val="20"/>
              </w:rPr>
              <w:t>Ativo Total</w:t>
            </w:r>
          </w:p>
        </w:tc>
      </w:tr>
      <w:tr>
        <w:trPr>
          <w:cantSplit w:val="true"/>
        </w:trPr>
        <w:tc>
          <w:tcPr>
            <w:tcW w:w="2234" w:type="dxa"/>
            <w:vMerge w:val="continue"/>
            <w:tcBorders>
              <w:top w:val="nil"/>
              <w:left w:val="nil"/>
              <w:bottom w:val="nil"/>
              <w:right w:val="nil"/>
            </w:tcBorders>
          </w:tcPr>
          <w:p>
            <w:pPr>
              <w:pStyle w:val="Normal"/>
              <w:tabs>
                <w:tab w:val="clear" w:pos="708"/>
                <w:tab w:val="left" w:pos="1440" w:leader="none"/>
              </w:tabs>
              <w:snapToGrid w:val="false"/>
              <w:spacing w:lineRule="auto" w:line="276"/>
              <w:jc w:val="both"/>
              <w:rPr>
                <w:rFonts w:ascii="Calibri" w:hAnsi="Calibri" w:eastAsia="" w:cs="Arial"/>
                <w:i w:val="false"/>
                <w:i w:val="false"/>
                <w:iCs w:val="false"/>
                <w:color w:val="000000"/>
                <w:sz w:val="24"/>
                <w:szCs w:val="20"/>
              </w:rPr>
            </w:pPr>
            <w:r>
              <w:rPr>
                <w:rFonts w:eastAsia="" w:cs="Arial" w:ascii="Calibri" w:hAnsi="Calibri"/>
                <w:i w:val="false"/>
                <w:iCs w:val="false"/>
                <w:color w:val="000000"/>
                <w:sz w:val="24"/>
                <w:szCs w:val="20"/>
              </w:rPr>
            </w:r>
          </w:p>
        </w:tc>
        <w:tc>
          <w:tcPr>
            <w:tcW w:w="4394" w:type="dxa"/>
            <w:tcBorders>
              <w:left w:val="nil"/>
              <w:bottom w:val="nil"/>
              <w:right w:val="nil"/>
            </w:tcBorders>
          </w:tcPr>
          <w:p>
            <w:pPr>
              <w:pStyle w:val="Normal"/>
              <w:tabs>
                <w:tab w:val="clear" w:pos="708"/>
                <w:tab w:val="left" w:pos="1440" w:leader="none"/>
              </w:tabs>
              <w:snapToGrid w:val="false"/>
              <w:spacing w:lineRule="auto" w:line="276"/>
              <w:jc w:val="both"/>
              <w:rPr>
                <w:rFonts w:ascii="Calibri" w:hAnsi="Calibri" w:eastAsia="" w:cs="Times New Roman" w:eastAsiaTheme="minorEastAsia"/>
                <w:i w:val="false"/>
                <w:i w:val="false"/>
                <w:iCs w:val="false"/>
                <w:szCs w:val="20"/>
              </w:rPr>
            </w:pPr>
            <w:r>
              <w:rPr>
                <w:rFonts w:eastAsia="" w:cs="Arial" w:ascii="Calibri" w:hAnsi="Calibri" w:eastAsiaTheme="minorEastAsia"/>
                <w:i w:val="false"/>
                <w:iCs w:val="false"/>
                <w:color w:val="000000"/>
                <w:sz w:val="24"/>
                <w:szCs w:val="20"/>
              </w:rPr>
              <w:t>Passivo Circulante + Passivo Não Circulante</w:t>
            </w:r>
          </w:p>
        </w:tc>
      </w:tr>
    </w:tbl>
    <w:p>
      <w:pPr>
        <w:pStyle w:val="Normal"/>
        <w:tabs>
          <w:tab w:val="clear" w:pos="708"/>
          <w:tab w:val="left" w:pos="1440" w:leader="none"/>
        </w:tabs>
        <w:snapToGrid w:val="false"/>
        <w:spacing w:lineRule="auto" w:line="276"/>
        <w:ind w:left="1134" w:hanging="0"/>
        <w:jc w:val="both"/>
        <w:rPr>
          <w:rFonts w:ascii="Calibri" w:hAnsi="Calibri" w:cs="Arial"/>
          <w:i w:val="false"/>
          <w:i w:val="false"/>
          <w:iCs w:val="false"/>
          <w:color w:val="000000"/>
          <w:sz w:val="24"/>
        </w:rPr>
      </w:pPr>
      <w:r>
        <w:rPr>
          <w:rFonts w:cs="Arial" w:ascii="Calibri" w:hAnsi="Calibri"/>
          <w:i w:val="false"/>
          <w:iCs w:val="false"/>
          <w:color w:val="000000"/>
          <w:sz w:val="24"/>
        </w:rPr>
      </w:r>
    </w:p>
    <w:tbl>
      <w:tblPr>
        <w:tblStyle w:val="Tabelacomgrade"/>
        <w:tblW w:w="4786" w:type="dxa"/>
        <w:jc w:val="left"/>
        <w:tblInd w:w="1134" w:type="dxa"/>
        <w:tblCellMar>
          <w:top w:w="0" w:type="dxa"/>
          <w:left w:w="108" w:type="dxa"/>
          <w:bottom w:w="0" w:type="dxa"/>
          <w:right w:w="108" w:type="dxa"/>
        </w:tblCellMar>
        <w:tblLook w:val="04a0" w:noHBand="0" w:noVBand="1" w:firstColumn="1" w:lastRow="0" w:lastColumn="0" w:firstRow="1"/>
      </w:tblPr>
      <w:tblGrid>
        <w:gridCol w:w="2235"/>
        <w:gridCol w:w="2550"/>
      </w:tblGrid>
      <w:tr>
        <w:trPr/>
        <w:tc>
          <w:tcPr>
            <w:tcW w:w="2235" w:type="dxa"/>
            <w:vMerge w:val="restart"/>
            <w:tcBorders>
              <w:top w:val="nil"/>
              <w:left w:val="nil"/>
              <w:bottom w:val="nil"/>
              <w:right w:val="nil"/>
            </w:tcBorders>
            <w:vAlign w:val="center"/>
          </w:tcPr>
          <w:p>
            <w:pPr>
              <w:pStyle w:val="Normal"/>
              <w:tabs>
                <w:tab w:val="clear" w:pos="708"/>
                <w:tab w:val="left" w:pos="1440" w:leader="none"/>
              </w:tabs>
              <w:snapToGrid w:val="false"/>
              <w:spacing w:lineRule="auto" w:line="276"/>
              <w:jc w:val="both"/>
              <w:rPr>
                <w:rFonts w:ascii="Calibri" w:hAnsi="Calibri" w:eastAsia="" w:cs="Times New Roman" w:eastAsiaTheme="minorEastAsia"/>
                <w:i w:val="false"/>
                <w:i w:val="false"/>
                <w:iCs w:val="false"/>
                <w:szCs w:val="20"/>
              </w:rPr>
            </w:pPr>
            <w:r>
              <w:rPr>
                <w:rFonts w:eastAsia="" w:cs="Arial" w:ascii="Calibri" w:hAnsi="Calibri" w:eastAsiaTheme="minorEastAsia"/>
                <w:i w:val="false"/>
                <w:iCs w:val="false"/>
                <w:color w:val="000000"/>
                <w:sz w:val="24"/>
                <w:szCs w:val="20"/>
              </w:rPr>
              <w:t>LC =</w:t>
            </w:r>
          </w:p>
        </w:tc>
        <w:tc>
          <w:tcPr>
            <w:tcW w:w="2550" w:type="dxa"/>
            <w:tcBorders>
              <w:top w:val="nil"/>
              <w:left w:val="nil"/>
              <w:right w:val="nil"/>
            </w:tcBorders>
            <w:vAlign w:val="bottom"/>
          </w:tcPr>
          <w:p>
            <w:pPr>
              <w:pStyle w:val="Normal"/>
              <w:tabs>
                <w:tab w:val="clear" w:pos="708"/>
                <w:tab w:val="left" w:pos="1440" w:leader="none"/>
              </w:tabs>
              <w:snapToGrid w:val="false"/>
              <w:spacing w:lineRule="auto" w:line="276"/>
              <w:jc w:val="both"/>
              <w:rPr>
                <w:rFonts w:ascii="Calibri" w:hAnsi="Calibri" w:eastAsia="" w:cs="Times New Roman" w:eastAsiaTheme="minorEastAsia"/>
                <w:i w:val="false"/>
                <w:i w:val="false"/>
                <w:iCs w:val="false"/>
                <w:szCs w:val="20"/>
              </w:rPr>
            </w:pPr>
            <w:r>
              <w:rPr>
                <w:rFonts w:eastAsia="" w:cs="Arial" w:ascii="Calibri" w:hAnsi="Calibri" w:eastAsiaTheme="minorEastAsia"/>
                <w:i w:val="false"/>
                <w:iCs w:val="false"/>
                <w:color w:val="000000"/>
                <w:sz w:val="24"/>
                <w:szCs w:val="20"/>
              </w:rPr>
              <w:t>Ativo Circulante</w:t>
            </w:r>
          </w:p>
        </w:tc>
      </w:tr>
      <w:tr>
        <w:trPr/>
        <w:tc>
          <w:tcPr>
            <w:tcW w:w="2235" w:type="dxa"/>
            <w:vMerge w:val="continue"/>
            <w:tcBorders>
              <w:top w:val="nil"/>
              <w:left w:val="nil"/>
              <w:bottom w:val="nil"/>
              <w:right w:val="nil"/>
            </w:tcBorders>
          </w:tcPr>
          <w:p>
            <w:pPr>
              <w:pStyle w:val="Normal"/>
              <w:tabs>
                <w:tab w:val="clear" w:pos="708"/>
                <w:tab w:val="left" w:pos="1440" w:leader="none"/>
              </w:tabs>
              <w:snapToGrid w:val="false"/>
              <w:spacing w:lineRule="auto" w:line="276"/>
              <w:jc w:val="both"/>
              <w:rPr>
                <w:rFonts w:ascii="Calibri" w:hAnsi="Calibri" w:eastAsia="" w:cs="Arial"/>
                <w:i w:val="false"/>
                <w:i w:val="false"/>
                <w:iCs w:val="false"/>
                <w:color w:val="000000"/>
                <w:sz w:val="24"/>
                <w:szCs w:val="20"/>
              </w:rPr>
            </w:pPr>
            <w:r>
              <w:rPr>
                <w:rFonts w:eastAsia="" w:cs="Arial" w:ascii="Calibri" w:hAnsi="Calibri"/>
                <w:i w:val="false"/>
                <w:iCs w:val="false"/>
                <w:color w:val="000000"/>
                <w:sz w:val="24"/>
                <w:szCs w:val="20"/>
              </w:rPr>
            </w:r>
          </w:p>
        </w:tc>
        <w:tc>
          <w:tcPr>
            <w:tcW w:w="2550" w:type="dxa"/>
            <w:tcBorders>
              <w:left w:val="nil"/>
              <w:bottom w:val="nil"/>
              <w:right w:val="nil"/>
            </w:tcBorders>
          </w:tcPr>
          <w:p>
            <w:pPr>
              <w:pStyle w:val="Normal"/>
              <w:tabs>
                <w:tab w:val="clear" w:pos="708"/>
                <w:tab w:val="left" w:pos="1440" w:leader="none"/>
              </w:tabs>
              <w:snapToGrid w:val="false"/>
              <w:spacing w:lineRule="auto" w:line="276"/>
              <w:jc w:val="both"/>
              <w:rPr>
                <w:rFonts w:ascii="Calibri" w:hAnsi="Calibri" w:eastAsia="" w:cs="Times New Roman" w:eastAsiaTheme="minorEastAsia"/>
                <w:i w:val="false"/>
                <w:i w:val="false"/>
                <w:iCs w:val="false"/>
                <w:szCs w:val="20"/>
              </w:rPr>
            </w:pPr>
            <w:r>
              <w:rPr>
                <w:rFonts w:eastAsia="" w:cs="Arial" w:ascii="Calibri" w:hAnsi="Calibri" w:eastAsiaTheme="minorEastAsia"/>
                <w:i w:val="false"/>
                <w:iCs w:val="false"/>
                <w:color w:val="000000"/>
                <w:sz w:val="24"/>
                <w:szCs w:val="20"/>
              </w:rPr>
              <w:t>Passivo Circulante</w:t>
            </w:r>
          </w:p>
        </w:tc>
      </w:tr>
    </w:tbl>
    <w:p>
      <w:pPr>
        <w:pStyle w:val="Normal"/>
        <w:numPr>
          <w:ilvl w:val="2"/>
          <w:numId w:val="2"/>
        </w:numPr>
        <w:tabs>
          <w:tab w:val="clear" w:pos="708"/>
          <w:tab w:val="left" w:pos="1440" w:leader="none"/>
        </w:tabs>
        <w:snapToGrid w:val="false"/>
        <w:spacing w:lineRule="auto" w:line="276" w:before="113" w:after="227"/>
        <w:jc w:val="both"/>
        <w:rPr>
          <w:rFonts w:ascii="Calibri" w:hAnsi="Calibri"/>
          <w:i w:val="false"/>
          <w:i w:val="false"/>
          <w:iCs w:val="false"/>
        </w:rPr>
      </w:pPr>
      <w:r>
        <w:rPr>
          <w:rFonts w:cs="Arial" w:ascii="Calibri" w:hAnsi="Calibri"/>
          <w:i w:val="false"/>
          <w:iCs w:val="false"/>
          <w:color w:val="000000"/>
          <w:sz w:val="24"/>
        </w:rPr>
        <w:t xml:space="preserve">As empresas, que apresentarem resultado inferior ou igual a 1(um) em qualquer dos índices de Liquidez Geral (LG), Solvência Geral (SG) e Liquidez Corrente (LC), deverão comprovar capital ou patrimônio líquido mínimo de </w:t>
      </w:r>
      <w:r>
        <w:rPr>
          <w:rFonts w:eastAsia="Times New Roman" w:cs="Arial" w:ascii="Calibri" w:hAnsi="Calibri"/>
          <w:i w:val="false"/>
          <w:iCs w:val="false"/>
          <w:color w:val="000000"/>
          <w:sz w:val="24"/>
          <w:szCs w:val="24"/>
          <w:lang w:eastAsia="pt-BR"/>
        </w:rPr>
        <w:t xml:space="preserve">1% </w:t>
      </w:r>
      <w:r>
        <w:rPr>
          <w:rFonts w:cs="Arial" w:ascii="Calibri" w:hAnsi="Calibri"/>
          <w:i w:val="false"/>
          <w:iCs w:val="false"/>
          <w:color w:val="000000"/>
          <w:sz w:val="24"/>
        </w:rPr>
        <w:t>(</w:t>
      </w:r>
      <w:r>
        <w:rPr>
          <w:rFonts w:eastAsia="Times New Roman" w:cs="Arial" w:ascii="Calibri" w:hAnsi="Calibri"/>
          <w:i w:val="false"/>
          <w:iCs w:val="false"/>
          <w:color w:val="000000"/>
          <w:sz w:val="24"/>
          <w:szCs w:val="24"/>
          <w:lang w:eastAsia="pt-BR"/>
        </w:rPr>
        <w:t>um por cento</w:t>
      </w:r>
      <w:r>
        <w:rPr>
          <w:rFonts w:cs="Arial" w:ascii="Calibri" w:hAnsi="Calibri"/>
          <w:i w:val="false"/>
          <w:iCs w:val="false"/>
          <w:color w:val="000000"/>
          <w:sz w:val="24"/>
        </w:rPr>
        <w:t xml:space="preserve">) do valor total estimado da contratação ou do item pertinente. </w:t>
      </w:r>
    </w:p>
    <w:p>
      <w:pPr>
        <w:pStyle w:val="PADRO"/>
        <w:keepNext w:val="false"/>
        <w:widowControl/>
        <w:numPr>
          <w:ilvl w:val="0"/>
          <w:numId w:val="2"/>
        </w:numPr>
        <w:shd w:val="clear" w:fill="FFFFFF"/>
        <w:spacing w:before="120" w:after="120"/>
        <w:rPr>
          <w:rFonts w:ascii="Calibri" w:hAnsi="Calibri"/>
          <w:i w:val="false"/>
          <w:i w:val="false"/>
          <w:iCs w:val="false"/>
        </w:rPr>
      </w:pPr>
      <w:r>
        <w:rPr>
          <w:rFonts w:cs="Arial" w:ascii="Calibri" w:hAnsi="Calibri"/>
          <w:b/>
          <w:i w:val="false"/>
          <w:iCs w:val="false"/>
          <w:color w:val="000000"/>
          <w:sz w:val="24"/>
        </w:rPr>
        <w:t>Qualificação</w:t>
      </w:r>
      <w:r>
        <w:rPr>
          <w:rFonts w:cs="Arial" w:ascii="Calibri" w:hAnsi="Calibri"/>
          <w:b/>
          <w:i w:val="false"/>
          <w:iCs w:val="false"/>
          <w:sz w:val="24"/>
        </w:rPr>
        <w:t xml:space="preserve"> Técnica</w:t>
      </w:r>
    </w:p>
    <w:p>
      <w:pPr>
        <w:pStyle w:val="PADRO"/>
        <w:keepNext w:val="false"/>
        <w:widowControl/>
        <w:numPr>
          <w:ilvl w:val="1"/>
          <w:numId w:val="2"/>
        </w:numPr>
        <w:shd w:val="clear" w:fill="FFFFFF"/>
        <w:spacing w:before="120" w:after="120"/>
        <w:rPr>
          <w:rFonts w:ascii="Calibri" w:hAnsi="Calibri"/>
          <w:i w:val="false"/>
          <w:i w:val="false"/>
          <w:iCs w:val="false"/>
        </w:rPr>
      </w:pPr>
      <w:bookmarkStart w:id="15" w:name="_Hlk519176340"/>
      <w:bookmarkEnd w:id="15"/>
      <w:r>
        <w:rPr>
          <w:rFonts w:cs="Arial" w:ascii="Calibri" w:hAnsi="Calibri"/>
          <w:i w:val="false"/>
          <w:iCs w:val="false"/>
          <w:color w:val="000000"/>
          <w:sz w:val="24"/>
        </w:rPr>
        <w:t xml:space="preserve">Comprovação de aptidão para as entregas em características, quantidades e prazos </w:t>
      </w:r>
      <w:r>
        <w:rPr>
          <w:rFonts w:cs="Arial" w:ascii="Calibri" w:hAnsi="Calibri"/>
          <w:i w:val="false"/>
          <w:iCs w:val="false"/>
          <w:sz w:val="24"/>
        </w:rPr>
        <w:t>compatíveis</w:t>
      </w:r>
      <w:r>
        <w:rPr>
          <w:rFonts w:cs="Arial" w:ascii="Calibri" w:hAnsi="Calibri"/>
          <w:i w:val="false"/>
          <w:iCs w:val="false"/>
          <w:color w:val="000000"/>
          <w:sz w:val="24"/>
        </w:rPr>
        <w:t xml:space="preserve"> com o objeto desta dispensa, ou com o item pertinente, mediante a apresentação de atestado(s) fornecido(s) por pessoas jurídicas de direito público ou privado. </w:t>
      </w:r>
    </w:p>
    <w:p>
      <w:pPr>
        <w:pStyle w:val="PADRO"/>
        <w:keepNext w:val="false"/>
        <w:widowControl/>
        <w:numPr>
          <w:ilvl w:val="3"/>
          <w:numId w:val="2"/>
        </w:numPr>
        <w:shd w:val="clear" w:fill="FFFFFF"/>
        <w:spacing w:before="120" w:after="120"/>
        <w:rPr>
          <w:rFonts w:ascii="Calibri" w:hAnsi="Calibri"/>
          <w:i w:val="false"/>
          <w:i w:val="false"/>
          <w:iCs w:val="false"/>
        </w:rPr>
      </w:pPr>
      <w:bookmarkStart w:id="16" w:name="_Hlk5191763401"/>
      <w:bookmarkEnd w:id="16"/>
      <w:r>
        <w:rPr>
          <w:rFonts w:cs="Arial" w:ascii="Calibri" w:hAnsi="Calibri"/>
          <w:i w:val="false"/>
          <w:iCs w:val="false"/>
          <w:color w:val="000000"/>
          <w:sz w:val="24"/>
        </w:rPr>
        <w:t>O fornecedor disponibilizará todas as informações necessárias à comprovação da legitimidade dos atestados, apresentando, dentre outros documentos, cópia do contrato que deu suporte à contratação, endereço atual da contratante e local em que foram  entregue os bens.</w:t>
      </w:r>
    </w:p>
    <w:p>
      <w:pPr>
        <w:pStyle w:val="PADRO"/>
        <w:keepNext w:val="false"/>
        <w:widowControl/>
        <w:numPr>
          <w:ilvl w:val="0"/>
          <w:numId w:val="0"/>
        </w:numPr>
        <w:shd w:val="clear" w:fill="FFFFFF"/>
        <w:spacing w:before="120" w:after="120"/>
        <w:ind w:left="927" w:hanging="0"/>
        <w:rPr>
          <w:rFonts w:ascii="Calibri" w:hAnsi="Calibri"/>
          <w:i w:val="false"/>
          <w:i w:val="false"/>
          <w:iCs w:val="false"/>
        </w:rPr>
      </w:pPr>
      <w:r>
        <w:rPr>
          <w:rFonts w:ascii="Calibri" w:hAnsi="Calibri"/>
          <w:i w:val="false"/>
          <w:iCs w:val="false"/>
        </w:rPr>
      </w:r>
    </w:p>
    <w:p>
      <w:pPr>
        <w:pStyle w:val="Normal"/>
        <w:rPr>
          <w:rFonts w:ascii="Calibri" w:hAnsi="Calibri"/>
          <w:i w:val="false"/>
          <w:i w:val="false"/>
          <w:iCs w:val="false"/>
        </w:rPr>
      </w:pPr>
      <w:r>
        <w:rPr/>
      </w:r>
    </w:p>
    <w:sectPr>
      <w:headerReference w:type="default" r:id="rId9"/>
      <w:headerReference w:type="first" r:id="rId10"/>
      <w:footerReference w:type="default" r:id="rId11"/>
      <w:type w:val="nextPage"/>
      <w:pgSz w:w="11906" w:h="16838"/>
      <w:pgMar w:left="1080" w:right="1080" w:header="708" w:top="1440" w:footer="708" w:bottom="1440"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Arial">
    <w:charset w:val="01"/>
    <w:family w:val="roman"/>
    <w:pitch w:val="variable"/>
  </w:font>
  <w:font w:name="Calibri Light">
    <w:charset w:val="01"/>
    <w:family w:val="roman"/>
    <w:pitch w:val="variable"/>
  </w:font>
  <w:font w:name="Ecofont_Spranq_eco_Sans">
    <w:charset w:val="01"/>
    <w:family w:val="roman"/>
    <w:pitch w:val="variable"/>
  </w:font>
  <w:font w:name="Segoe UI">
    <w:charset w:val="01"/>
    <w:family w:val="roman"/>
    <w:pitch w:val="variable"/>
  </w:font>
  <w:font w:name="OpenSymbol">
    <w:altName w:val="Arial Unicode MS"/>
    <w:charset w:val="01"/>
    <w:family w:val="roman"/>
    <w:pitch w:val="variable"/>
  </w:font>
  <w:font w:name="Liberation Sans">
    <w:altName w:val="Arial"/>
    <w:charset w:val="01"/>
    <w:family w:val="roman"/>
    <w:pitch w:val="variable"/>
  </w:font>
  <w:font w:name="CALIBRI">
    <w:charset w:val="01"/>
    <w:family w:val="roman"/>
    <w:pitch w:val="variable"/>
  </w:font>
  <w:font w:name="Calibri light">
    <w:charset w:val="01"/>
    <w:family w:val="roman"/>
    <w:pitch w:val="variable"/>
  </w:font>
  <w:font w:name="CALIBRI  ">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tabs>
        <w:tab w:val="clear" w:pos="708"/>
        <w:tab w:val="center" w:pos="4550" w:leader="none"/>
        <w:tab w:val="left" w:pos="5818" w:leader="none"/>
      </w:tabs>
      <w:ind w:right="260" w:hanging="0"/>
      <w:jc w:val="right"/>
      <w:rPr>
        <w:color w:val="8496B0" w:themeColor="text2" w:themeTint="99"/>
        <w:spacing w:val="60"/>
        <w:sz w:val="24"/>
      </w:rPr>
    </w:pPr>
    <w:r>
      <w:rPr>
        <w:color w:val="8496B0" w:themeColor="text2" w:themeTint="99"/>
        <w:spacing w:val="60"/>
        <w:sz w:val="24"/>
      </w:rPr>
    </w:r>
  </w:p>
  <w:p>
    <w:pPr>
      <w:pStyle w:val="Normal"/>
      <w:tabs>
        <w:tab w:val="clear" w:pos="708"/>
        <w:tab w:val="center" w:pos="4550" w:leader="none"/>
        <w:tab w:val="left" w:pos="5818" w:leader="none"/>
      </w:tabs>
      <w:ind w:right="260" w:hanging="0"/>
      <w:jc w:val="right"/>
      <w:rPr>
        <w:color w:val="222A35" w:themeColor="text2" w:themeShade="80"/>
        <w:sz w:val="22"/>
        <w:szCs w:val="22"/>
      </w:rPr>
    </w:pPr>
    <w:r>
      <w:rPr>
        <w:color w:val="8496B0" w:themeColor="text2" w:themeTint="99"/>
        <w:spacing w:val="60"/>
        <w:sz w:val="22"/>
        <w:szCs w:val="22"/>
      </w:rPr>
      <w:t>Página</w:t>
    </w:r>
    <w:r>
      <w:rPr>
        <w:color w:val="8496B0" w:themeColor="text2" w:themeTint="99"/>
        <w:sz w:val="22"/>
        <w:szCs w:val="22"/>
      </w:rPr>
      <w:t xml:space="preserve"> </w:t>
    </w:r>
    <w:r>
      <w:rPr>
        <w:color w:val="323E4F"/>
        <w:sz w:val="22"/>
        <w:szCs w:val="22"/>
      </w:rPr>
      <w:fldChar w:fldCharType="begin"/>
    </w:r>
    <w:r>
      <w:rPr>
        <w:sz w:val="22"/>
        <w:szCs w:val="22"/>
        <w:color w:val="323E4F"/>
      </w:rPr>
      <w:instrText> PAGE </w:instrText>
    </w:r>
    <w:r>
      <w:rPr>
        <w:sz w:val="22"/>
        <w:szCs w:val="22"/>
        <w:color w:val="323E4F"/>
      </w:rPr>
      <w:fldChar w:fldCharType="separate"/>
    </w:r>
    <w:r>
      <w:rPr>
        <w:sz w:val="22"/>
        <w:szCs w:val="22"/>
        <w:color w:val="323E4F"/>
      </w:rPr>
      <w:t>21</w:t>
    </w:r>
    <w:r>
      <w:rPr>
        <w:sz w:val="22"/>
        <w:szCs w:val="22"/>
        <w:color w:val="323E4F"/>
      </w:rPr>
      <w:fldChar w:fldCharType="end"/>
    </w:r>
    <w:r>
      <w:rPr>
        <w:color w:val="323E4F" w:themeColor="text2" w:themeShade="bf"/>
        <w:sz w:val="22"/>
        <w:szCs w:val="22"/>
      </w:rPr>
      <w:t xml:space="preserve"> | </w:t>
    </w:r>
    <w:r>
      <w:rPr>
        <w:color w:val="323E4F"/>
        <w:sz w:val="22"/>
        <w:szCs w:val="22"/>
      </w:rPr>
      <w:fldChar w:fldCharType="begin"/>
    </w:r>
    <w:r>
      <w:rPr>
        <w:sz w:val="22"/>
        <w:szCs w:val="22"/>
        <w:color w:val="323E4F"/>
      </w:rPr>
      <w:instrText> NUMPAGES </w:instrText>
    </w:r>
    <w:r>
      <w:rPr>
        <w:sz w:val="22"/>
        <w:szCs w:val="22"/>
        <w:color w:val="323E4F"/>
      </w:rPr>
      <w:fldChar w:fldCharType="separate"/>
    </w:r>
    <w:r>
      <w:rPr>
        <w:sz w:val="22"/>
        <w:szCs w:val="22"/>
        <w:color w:val="323E4F"/>
      </w:rPr>
      <w:t>21</w:t>
    </w:r>
    <w:r>
      <w:rPr>
        <w:sz w:val="22"/>
        <w:szCs w:val="22"/>
        <w:color w:val="323E4F"/>
      </w:rPr>
      <w:fldChar w:fldCharType="end"/>
    </w:r>
  </w:p>
  <w:p>
    <w:pPr>
      <w:pStyle w:val="Rodap"/>
      <w:rPr>
        <w:rFonts w:ascii="CALIBRI  " w:hAnsi="CALIBRI  " w:eastAsia="Times New Roman" w:cs="Tahoma"/>
        <w:i/>
        <w:i/>
        <w:iCs/>
        <w:sz w:val="20"/>
        <w:szCs w:val="20"/>
        <w:lang w:eastAsia="pt-BR"/>
      </w:rPr>
    </w:pPr>
    <w:r>
      <w:rPr>
        <w:rFonts w:eastAsia="Times New Roman" w:cs="Tahoma" w:ascii="CALIBRI  " w:hAnsi="CALIBRI  "/>
        <w:i/>
        <w:iCs/>
        <w:sz w:val="20"/>
        <w:szCs w:val="20"/>
        <w:lang w:eastAsia="pt-BR"/>
      </w:rPr>
      <w:t>EXÉRCITO BRASILEIRO – 1º BATALHÃO FERROVIÁRIO</w:t>
    </w:r>
  </w:p>
  <w:p>
    <w:pPr>
      <w:pStyle w:val="Rodap"/>
      <w:rPr>
        <w:sz w:val="12"/>
        <w:szCs w:val="12"/>
      </w:rPr>
    </w:pPr>
    <w:r>
      <w:rPr>
        <w:sz w:val="12"/>
        <w:szCs w:val="12"/>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pPr>
    <w:r>
      <w:rPr/>
    </w:r>
  </w:p>
  <w:p>
    <w:pPr>
      <w:pStyle w:val="Cabealho"/>
      <w:rPr/>
    </w:pPr>
    <w:r>
      <w:rPr/>
    </w:r>
  </w:p>
  <w:p>
    <w:pPr>
      <w:pStyle w:val="Cabealho"/>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rPr/>
    </w:pPr>
    <w:r>
      <w:rPr/>
    </w:r>
  </w:p>
  <w:p>
    <w:pPr>
      <w:pStyle w:val="Cabealho"/>
      <w:rPr/>
    </w:pPr>
    <w:r>
      <w:rPr/>
      <w:drawing>
        <wp:anchor behindDoc="1" distT="0" distB="0" distL="0" distR="0" simplePos="0" locked="0" layoutInCell="1" allowOverlap="1" relativeHeight="2">
          <wp:simplePos x="0" y="0"/>
          <wp:positionH relativeFrom="page">
            <wp:posOffset>12700</wp:posOffset>
          </wp:positionH>
          <wp:positionV relativeFrom="page">
            <wp:posOffset>17145</wp:posOffset>
          </wp:positionV>
          <wp:extent cx="7560310" cy="10692130"/>
          <wp:effectExtent l="0" t="0" r="0" b="0"/>
          <wp:wrapNone/>
          <wp:docPr id="3"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8" descr="Texto&#10;&#10;Descrição gerada automaticamente com confiança média"/>
                  <pic:cNvPicPr>
                    <a:picLocks noChangeAspect="1" noChangeArrowheads="1"/>
                  </pic:cNvPicPr>
                </pic:nvPicPr>
                <pic:blipFill>
                  <a:blip r:embed="rId1"/>
                  <a:stretch>
                    <a:fillRect/>
                  </a:stretch>
                </pic:blipFill>
                <pic:spPr bwMode="auto">
                  <a:xfrm>
                    <a:off x="0" y="0"/>
                    <a:ext cx="7560310" cy="10692130"/>
                  </a:xfrm>
                  <a:prstGeom prst="rect">
                    <a:avLst/>
                  </a:prstGeom>
                </pic:spPr>
              </pic:pic>
            </a:graphicData>
          </a:graphic>
        </wp:anchor>
      </w:drawing>
    </w:r>
  </w:p>
  <w:p>
    <w:pPr>
      <w:pStyle w:val="Cabealho"/>
      <w:rPr/>
    </w:pPr>
    <w:r>
      <w:rPr/>
    </w:r>
  </w:p>
  <w:p>
    <w:pPr>
      <w:pStyle w:val="Cabealho"/>
      <w:rPr/>
    </w:pPr>
    <w:r>
      <w:rPr/>
    </w:r>
  </w:p>
  <w:p>
    <w:pPr>
      <w:pStyle w:val="Cabealho"/>
      <w:rPr/>
    </w:pPr>
    <w:r>
      <w:rPr/>
    </w:r>
  </w:p>
  <w:p>
    <w:pPr>
      <w:pStyle w:val="Cabealho"/>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2">
    <w:lvl w:ilvl="0">
      <w:start w:val="1"/>
      <w:numFmt w:val="decimal"/>
      <w:lvlText w:val="%1"/>
      <w:lvlJc w:val="left"/>
      <w:pPr>
        <w:tabs>
          <w:tab w:val="num" w:pos="0"/>
        </w:tabs>
        <w:ind w:left="360" w:hanging="360"/>
      </w:pPr>
    </w:lvl>
    <w:lvl w:ilvl="1">
      <w:start w:val="1"/>
      <w:numFmt w:val="decimal"/>
      <w:lvlText w:val="%1.%2"/>
      <w:lvlJc w:val="left"/>
      <w:pPr>
        <w:tabs>
          <w:tab w:val="num" w:pos="0"/>
        </w:tabs>
        <w:ind w:left="927" w:hanging="360"/>
      </w:pPr>
      <w:rPr>
        <w:b w:val="false"/>
      </w:rPr>
    </w:lvl>
    <w:lvl w:ilvl="2">
      <w:start w:val="1"/>
      <w:numFmt w:val="decimal"/>
      <w:lvlText w:val="%1.%2.%3"/>
      <w:lvlJc w:val="left"/>
      <w:pPr>
        <w:tabs>
          <w:tab w:val="num" w:pos="0"/>
        </w:tabs>
        <w:ind w:left="1854" w:hanging="720"/>
      </w:pPr>
      <w:rPr>
        <w:b w:val="false"/>
      </w:r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i w:val="false"/>
        <w:b w:val="false"/>
        <w:iCs/>
      </w:rPr>
    </w:lvl>
    <w:lvl w:ilvl="2">
      <w:start w:val="1"/>
      <w:numFmt w:val="decimal"/>
      <w:lvlText w:val="%1.%2.%3."/>
      <w:lvlJc w:val="left"/>
      <w:pPr>
        <w:tabs>
          <w:tab w:val="num" w:pos="0"/>
        </w:tabs>
        <w:ind w:left="1224" w:hanging="504"/>
      </w:pPr>
      <w:rPr>
        <w:i w:val="false"/>
        <w:b w:val="false"/>
        <w:iCs/>
        <w:rFonts w:cs="Arial"/>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i w:val="false"/>
        <w:b w:val="false"/>
        <w:iCs/>
      </w:rPr>
    </w:lvl>
    <w:lvl w:ilvl="2">
      <w:start w:val="1"/>
      <w:numFmt w:val="lowerLetter"/>
      <w:lvlText w:val="%3)"/>
      <w:lvlJc w:val="left"/>
      <w:pPr>
        <w:tabs>
          <w:tab w:val="num" w:pos="0"/>
        </w:tabs>
        <w:ind w:left="1224" w:hanging="504"/>
      </w:pPr>
      <w:rPr>
        <w:i w:val="false"/>
        <w:b w:val="false"/>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hyphenationZone w:val="425"/>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2"/>
        <w:lang w:val="pt-BR"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3d0e1a"/>
    <w:pPr>
      <w:widowControl/>
      <w:suppressAutoHyphens w:val="true"/>
      <w:bidi w:val="0"/>
      <w:spacing w:lineRule="auto" w:line="240" w:before="0" w:after="0"/>
      <w:jc w:val="left"/>
    </w:pPr>
    <w:rPr>
      <w:rFonts w:ascii="Arial" w:hAnsi="Arial" w:eastAsia="Times New Roman" w:cs="Tahoma"/>
      <w:color w:val="auto"/>
      <w:kern w:val="0"/>
      <w:sz w:val="20"/>
      <w:szCs w:val="24"/>
      <w:lang w:val="pt-BR" w:eastAsia="pt-BR" w:bidi="ar-SA"/>
    </w:rPr>
  </w:style>
  <w:style w:type="paragraph" w:styleId="Ttulo1">
    <w:name w:val="Heading 1"/>
    <w:basedOn w:val="Normal"/>
    <w:next w:val="Normal"/>
    <w:link w:val="Ttulo1Char"/>
    <w:uiPriority w:val="9"/>
    <w:qFormat/>
    <w:rsid w:val="009f7713"/>
    <w:pPr>
      <w:keepNext w:val="true"/>
      <w:keepLines/>
      <w:spacing w:before="240" w:after="0"/>
      <w:outlineLvl w:val="0"/>
    </w:pPr>
    <w:rPr>
      <w:rFonts w:ascii="Calibri Light" w:hAnsi="Calibri Light" w:eastAsia="" w:cs="" w:asciiTheme="majorHAnsi" w:cstheme="majorBidi" w:eastAsiaTheme="majorEastAsia" w:hAnsiTheme="majorHAnsi"/>
      <w:color w:val="2F5496" w:themeColor="accent1" w:themeShade="bf"/>
      <w:sz w:val="32"/>
      <w:szCs w:val="32"/>
    </w:rPr>
  </w:style>
  <w:style w:type="character" w:styleId="DefaultParagraphFont" w:default="1">
    <w:name w:val="Default Paragraph Font"/>
    <w:uiPriority w:val="1"/>
    <w:semiHidden/>
    <w:unhideWhenUsed/>
    <w:qFormat/>
    <w:rPr/>
  </w:style>
  <w:style w:type="character" w:styleId="CitaoChar" w:customStyle="1">
    <w:name w:val="Citação Char"/>
    <w:basedOn w:val="DefaultParagraphFont"/>
    <w:link w:val="Citao"/>
    <w:qFormat/>
    <w:rsid w:val="009f7713"/>
    <w:rPr>
      <w:rFonts w:ascii="Arial" w:hAnsi="Arial" w:eastAsia="Calibri" w:cs="Tahoma"/>
      <w:i/>
      <w:iCs/>
      <w:color w:val="000000"/>
      <w:sz w:val="20"/>
      <w:szCs w:val="24"/>
      <w:shd w:fill="FFFFCC" w:val="clear"/>
    </w:rPr>
  </w:style>
  <w:style w:type="character" w:styleId="Nivel01Char" w:customStyle="1">
    <w:name w:val="Nivel 01 Char"/>
    <w:basedOn w:val="Ttulo1Char"/>
    <w:link w:val="Nivel01"/>
    <w:qFormat/>
    <w:rsid w:val="009f7713"/>
    <w:rPr>
      <w:rFonts w:ascii="Arial" w:hAnsi="Arial" w:eastAsia="" w:cs="Times New Roman" w:eastAsiaTheme="majorEastAsia"/>
      <w:b/>
      <w:bCs/>
      <w:color w:val="000000"/>
      <w:sz w:val="20"/>
      <w:szCs w:val="20"/>
      <w:lang w:eastAsia="pt-BR"/>
    </w:rPr>
  </w:style>
  <w:style w:type="character" w:styleId="Ttulo1Char" w:customStyle="1">
    <w:name w:val="Título 1 Char"/>
    <w:basedOn w:val="DefaultParagraphFont"/>
    <w:link w:val="Ttulo1"/>
    <w:uiPriority w:val="9"/>
    <w:qFormat/>
    <w:rsid w:val="009f7713"/>
    <w:rPr>
      <w:rFonts w:ascii="Calibri Light" w:hAnsi="Calibri Light" w:eastAsia="" w:cs="" w:asciiTheme="majorHAnsi" w:cstheme="majorBidi" w:eastAsiaTheme="majorEastAsia" w:hAnsiTheme="majorHAnsi"/>
      <w:color w:val="2F5496" w:themeColor="accent1" w:themeShade="bf"/>
      <w:sz w:val="32"/>
      <w:szCs w:val="32"/>
      <w:lang w:eastAsia="pt-BR"/>
    </w:rPr>
  </w:style>
  <w:style w:type="character" w:styleId="Citao2Char" w:customStyle="1">
    <w:name w:val="citação 2 Char"/>
    <w:basedOn w:val="CitaoChar"/>
    <w:link w:val="citao2"/>
    <w:qFormat/>
    <w:rsid w:val="006a70c8"/>
    <w:rPr>
      <w:rFonts w:ascii="Arial" w:hAnsi="Arial" w:eastAsia="Calibri" w:cs="Tahoma"/>
      <w:i/>
      <w:iCs/>
      <w:color w:val="000000"/>
      <w:sz w:val="20"/>
      <w:szCs w:val="20"/>
      <w:shd w:fill="FFFFCC" w:val="clear"/>
    </w:rPr>
  </w:style>
  <w:style w:type="character" w:styleId="QuoteChar" w:customStyle="1">
    <w:name w:val="Quote Char"/>
    <w:basedOn w:val="DefaultParagraphFont"/>
    <w:link w:val="Citao1"/>
    <w:qFormat/>
    <w:rsid w:val="00a728b9"/>
    <w:rPr>
      <w:rFonts w:ascii="Ecofont_Spranq_eco_Sans" w:hAnsi="Ecofont_Spranq_eco_Sans" w:eastAsia="Calibri" w:cs="Tahoma"/>
      <w:i/>
      <w:iCs/>
      <w:color w:val="000000"/>
      <w:shd w:fill="FFFFCC" w:val="clear"/>
    </w:rPr>
  </w:style>
  <w:style w:type="character" w:styleId="Annotationreference">
    <w:name w:val="annotation reference"/>
    <w:basedOn w:val="DefaultParagraphFont"/>
    <w:semiHidden/>
    <w:unhideWhenUsed/>
    <w:qFormat/>
    <w:rsid w:val="003d08af"/>
    <w:rPr>
      <w:sz w:val="16"/>
      <w:szCs w:val="16"/>
    </w:rPr>
  </w:style>
  <w:style w:type="character" w:styleId="TextodecomentrioChar" w:customStyle="1">
    <w:name w:val="Texto de comentário Char"/>
    <w:basedOn w:val="DefaultParagraphFont"/>
    <w:link w:val="Textodecomentrio"/>
    <w:qFormat/>
    <w:rsid w:val="003d08af"/>
    <w:rPr>
      <w:rFonts w:ascii="Arial" w:hAnsi="Arial" w:eastAsia="Times New Roman" w:cs="Tahoma"/>
      <w:sz w:val="20"/>
      <w:szCs w:val="20"/>
      <w:lang w:eastAsia="pt-BR"/>
    </w:rPr>
  </w:style>
  <w:style w:type="character" w:styleId="AssuntodocomentrioChar" w:customStyle="1">
    <w:name w:val="Assunto do comentário Char"/>
    <w:basedOn w:val="TextodecomentrioChar"/>
    <w:link w:val="Assuntodocomentrio"/>
    <w:uiPriority w:val="99"/>
    <w:semiHidden/>
    <w:qFormat/>
    <w:rsid w:val="003d08af"/>
    <w:rPr>
      <w:rFonts w:ascii="Arial" w:hAnsi="Arial" w:eastAsia="Times New Roman" w:cs="Tahoma"/>
      <w:b/>
      <w:bCs/>
      <w:sz w:val="20"/>
      <w:szCs w:val="20"/>
      <w:lang w:eastAsia="pt-BR"/>
    </w:rPr>
  </w:style>
  <w:style w:type="character" w:styleId="LinkdaInternet">
    <w:name w:val="Link da Internet"/>
    <w:uiPriority w:val="99"/>
    <w:rsid w:val="002f5eff"/>
    <w:rPr>
      <w:color w:val="000080"/>
      <w:u w:val="single"/>
    </w:rPr>
  </w:style>
  <w:style w:type="character" w:styleId="Nivel4Char" w:customStyle="1">
    <w:name w:val="Nivel 4 Char"/>
    <w:basedOn w:val="DefaultParagraphFont"/>
    <w:link w:val="Nivel4"/>
    <w:qFormat/>
    <w:rsid w:val="002f5eff"/>
    <w:rPr>
      <w:rFonts w:ascii="Ecofont_Spranq_eco_Sans" w:hAnsi="Ecofont_Spranq_eco_Sans" w:eastAsia="Arial Unicode MS" w:cs="Arial"/>
      <w:sz w:val="20"/>
      <w:szCs w:val="20"/>
      <w:lang w:eastAsia="pt-BR"/>
    </w:rPr>
  </w:style>
  <w:style w:type="character" w:styleId="TextodebaloChar" w:customStyle="1">
    <w:name w:val="Texto de balão Char"/>
    <w:basedOn w:val="DefaultParagraphFont"/>
    <w:link w:val="Textodebalo"/>
    <w:uiPriority w:val="99"/>
    <w:semiHidden/>
    <w:qFormat/>
    <w:rsid w:val="00731d60"/>
    <w:rPr>
      <w:rFonts w:ascii="Segoe UI" w:hAnsi="Segoe UI" w:eastAsia="Times New Roman" w:cs="Segoe UI"/>
      <w:sz w:val="18"/>
      <w:szCs w:val="18"/>
      <w:lang w:eastAsia="pt-BR"/>
    </w:rPr>
  </w:style>
  <w:style w:type="character" w:styleId="CabealhoChar" w:customStyle="1">
    <w:name w:val="Cabeçalho Char"/>
    <w:basedOn w:val="DefaultParagraphFont"/>
    <w:link w:val="Cabealho"/>
    <w:uiPriority w:val="99"/>
    <w:qFormat/>
    <w:rsid w:val="00805244"/>
    <w:rPr>
      <w:rFonts w:ascii="Arial" w:hAnsi="Arial" w:eastAsia="Times New Roman" w:cs="Tahoma"/>
      <w:sz w:val="20"/>
      <w:szCs w:val="24"/>
      <w:lang w:eastAsia="pt-BR"/>
    </w:rPr>
  </w:style>
  <w:style w:type="character" w:styleId="RodapChar" w:customStyle="1">
    <w:name w:val="Rodapé Char"/>
    <w:basedOn w:val="DefaultParagraphFont"/>
    <w:link w:val="Rodap"/>
    <w:uiPriority w:val="99"/>
    <w:qFormat/>
    <w:rsid w:val="00805244"/>
    <w:rPr>
      <w:rFonts w:ascii="Arial" w:hAnsi="Arial" w:eastAsia="Times New Roman" w:cs="Tahoma"/>
      <w:sz w:val="20"/>
      <w:szCs w:val="24"/>
      <w:lang w:eastAsia="pt-BR"/>
    </w:rPr>
  </w:style>
  <w:style w:type="character" w:styleId="UnresolvedMention" w:customStyle="1">
    <w:name w:val="Unresolved Mention"/>
    <w:basedOn w:val="DefaultParagraphFont"/>
    <w:uiPriority w:val="99"/>
    <w:semiHidden/>
    <w:unhideWhenUsed/>
    <w:qFormat/>
    <w:rsid w:val="009c2bd5"/>
    <w:rPr>
      <w:color w:val="605E5C"/>
      <w:shd w:fill="E1DFDD" w:val="clear"/>
    </w:rPr>
  </w:style>
  <w:style w:type="character" w:styleId="TtuloChar" w:customStyle="1">
    <w:name w:val="Título Char"/>
    <w:basedOn w:val="DefaultParagraphFont"/>
    <w:link w:val="Ttulo"/>
    <w:uiPriority w:val="10"/>
    <w:qFormat/>
    <w:rsid w:val="000453ab"/>
    <w:rPr>
      <w:rFonts w:ascii="Calibri Light" w:hAnsi="Calibri Light" w:eastAsia="" w:cs="" w:asciiTheme="majorHAnsi" w:cstheme="majorBidi" w:eastAsiaTheme="majorEastAsia" w:hAnsiTheme="majorHAnsi"/>
      <w:spacing w:val="-10"/>
      <w:kern w:val="2"/>
      <w:sz w:val="56"/>
      <w:szCs w:val="56"/>
      <w:lang w:eastAsia="pt-BR"/>
    </w:rPr>
  </w:style>
  <w:style w:type="character" w:styleId="Vnculodendice">
    <w:name w:val="Vínculo de índice"/>
    <w:qFormat/>
    <w:rPr/>
  </w:style>
  <w:style w:type="character" w:styleId="Fontepargpadro">
    <w:name w:val="Fonte parág. padrão"/>
    <w:qFormat/>
    <w:rPr/>
  </w:style>
  <w:style w:type="character" w:styleId="Marcas">
    <w:name w:val="Marcas"/>
    <w:qFormat/>
    <w:rPr>
      <w:rFonts w:ascii="OpenSymbol" w:hAnsi="OpenSymbol" w:eastAsia="OpenSymbol" w:cs="OpenSymbol"/>
    </w:rPr>
  </w:style>
  <w:style w:type="paragraph" w:styleId="Ttulo">
    <w:name w:val="Título"/>
    <w:basedOn w:val="Normal"/>
    <w:next w:val="Corpodotexto"/>
    <w:qFormat/>
    <w:pPr>
      <w:keepNext w:val="true"/>
      <w:spacing w:before="240" w:after="120"/>
    </w:pPr>
    <w:rPr>
      <w:rFonts w:ascii="Liberation Sans" w:hAnsi="Liberation Sans" w:eastAsia="Noto Sans CJK SC" w:cs="Lohit Devanagari"/>
      <w:sz w:val="28"/>
      <w:szCs w:val="28"/>
    </w:rPr>
  </w:style>
  <w:style w:type="paragraph" w:styleId="Corpodotexto">
    <w:name w:val="Body Text"/>
    <w:basedOn w:val="Normal"/>
    <w:pPr>
      <w:spacing w:lineRule="auto" w:line="276" w:before="0" w:after="140"/>
    </w:pPr>
    <w:rPr/>
  </w:style>
  <w:style w:type="paragraph" w:styleId="Lista">
    <w:name w:val="List"/>
    <w:basedOn w:val="Corpodotexto"/>
    <w:pPr/>
    <w:rPr>
      <w:rFonts w:cs="Lohit Devanagari"/>
    </w:rPr>
  </w:style>
  <w:style w:type="paragraph" w:styleId="Legenda">
    <w:name w:val="Caption"/>
    <w:basedOn w:val="Normal"/>
    <w:qFormat/>
    <w:pPr>
      <w:suppressLineNumbers/>
      <w:spacing w:before="120" w:after="120"/>
    </w:pPr>
    <w:rPr>
      <w:rFonts w:cs="Lohit Devanagari"/>
      <w:i/>
      <w:iCs/>
      <w:sz w:val="24"/>
      <w:szCs w:val="24"/>
    </w:rPr>
  </w:style>
  <w:style w:type="paragraph" w:styleId="Ndice">
    <w:name w:val="Índice"/>
    <w:basedOn w:val="Normal"/>
    <w:qFormat/>
    <w:pPr>
      <w:suppressLineNumbers/>
    </w:pPr>
    <w:rPr>
      <w:rFonts w:cs="Lohit Devanagari"/>
    </w:rPr>
  </w:style>
  <w:style w:type="paragraph" w:styleId="Quote">
    <w:name w:val="Quote"/>
    <w:basedOn w:val="Normal"/>
    <w:next w:val="Normal"/>
    <w:link w:val="CitaoChar"/>
    <w:qFormat/>
    <w:rsid w:val="009f771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lang w:eastAsia="en-US"/>
    </w:rPr>
  </w:style>
  <w:style w:type="paragraph" w:styleId="Nivel01" w:customStyle="1">
    <w:name w:val="Nivel 01"/>
    <w:basedOn w:val="Ttulo1"/>
    <w:next w:val="Normal"/>
    <w:link w:val="Nivel01Char"/>
    <w:qFormat/>
    <w:rsid w:val="009f7713"/>
    <w:pPr>
      <w:spacing w:lineRule="auto" w:line="276" w:before="480" w:after="120"/>
      <w:ind w:right="-15" w:hanging="0"/>
      <w:jc w:val="both"/>
    </w:pPr>
    <w:rPr>
      <w:rFonts w:ascii="Arial" w:hAnsi="Arial" w:cs="Times New Roman"/>
      <w:b/>
      <w:bCs/>
      <w:color w:val="000000"/>
      <w:sz w:val="20"/>
      <w:szCs w:val="20"/>
    </w:rPr>
  </w:style>
  <w:style w:type="paragraph" w:styleId="PADRO" w:customStyle="1">
    <w:name w:val="PADRÃO"/>
    <w:qFormat/>
    <w:rsid w:val="009f7713"/>
    <w:pPr>
      <w:keepNext w:val="true"/>
      <w:widowControl w:val="false"/>
      <w:shd w:val="clear" w:color="auto" w:fill="FFFFFF"/>
      <w:suppressAutoHyphens w:val="true"/>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0"/>
      <w:szCs w:val="24"/>
      <w:lang w:val="pt-BR" w:eastAsia="zh-CN" w:bidi="hi-IN"/>
    </w:rPr>
  </w:style>
  <w:style w:type="paragraph" w:styleId="ListParagraph">
    <w:name w:val="List Paragraph"/>
    <w:basedOn w:val="Normal"/>
    <w:uiPriority w:val="34"/>
    <w:qFormat/>
    <w:rsid w:val="006a70c8"/>
    <w:pPr>
      <w:spacing w:before="0" w:after="0"/>
      <w:ind w:left="720" w:hanging="0"/>
      <w:contextualSpacing/>
    </w:pPr>
    <w:rPr/>
  </w:style>
  <w:style w:type="paragraph" w:styleId="Citao2" w:customStyle="1">
    <w:name w:val="citação 2"/>
    <w:basedOn w:val="Quote"/>
    <w:link w:val="citao2Char"/>
    <w:qFormat/>
    <w:rsid w:val="006a70c8"/>
    <w:pPr>
      <w:shd w:val="clear" w:fill="FFFFCC"/>
    </w:pPr>
    <w:rPr>
      <w:szCs w:val="20"/>
    </w:rPr>
  </w:style>
  <w:style w:type="paragraph" w:styleId="Citao1" w:customStyle="1">
    <w:name w:val="Citação1"/>
    <w:basedOn w:val="Normal"/>
    <w:next w:val="Normal"/>
    <w:link w:val="QuoteChar"/>
    <w:qFormat/>
    <w:rsid w:val="00a728b9"/>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Ecofont_Spranq_eco_Sans" w:hAnsi="Ecofont_Spranq_eco_Sans" w:eastAsia="Calibri"/>
      <w:i/>
      <w:iCs/>
      <w:color w:val="000000"/>
      <w:sz w:val="22"/>
      <w:szCs w:val="22"/>
      <w:lang w:eastAsia="en-US"/>
    </w:rPr>
  </w:style>
  <w:style w:type="paragraph" w:styleId="Annotationtext">
    <w:name w:val="annotation text"/>
    <w:basedOn w:val="Normal"/>
    <w:link w:val="TextodecomentrioChar"/>
    <w:unhideWhenUsed/>
    <w:qFormat/>
    <w:rsid w:val="003d08af"/>
    <w:pPr/>
    <w:rPr>
      <w:szCs w:val="20"/>
    </w:rPr>
  </w:style>
  <w:style w:type="paragraph" w:styleId="Annotationsubject">
    <w:name w:val="annotation subject"/>
    <w:basedOn w:val="Annotationtext"/>
    <w:next w:val="Annotationtext"/>
    <w:link w:val="AssuntodocomentrioChar"/>
    <w:uiPriority w:val="99"/>
    <w:semiHidden/>
    <w:unhideWhenUsed/>
    <w:qFormat/>
    <w:rsid w:val="003d08af"/>
    <w:pPr/>
    <w:rPr>
      <w:b/>
      <w:bCs/>
    </w:rPr>
  </w:style>
  <w:style w:type="paragraph" w:styleId="Nivel1" w:customStyle="1">
    <w:name w:val="Nivel1"/>
    <w:basedOn w:val="Ttulo1"/>
    <w:qFormat/>
    <w:rsid w:val="00fa4ef2"/>
    <w:pPr>
      <w:spacing w:lineRule="auto" w:line="276" w:before="480" w:after="0"/>
      <w:ind w:left="644" w:hanging="360"/>
      <w:jc w:val="both"/>
    </w:pPr>
    <w:rPr>
      <w:rFonts w:ascii="Arial" w:hAnsi="Arial" w:cs="Times New Roman"/>
      <w:b/>
      <w:color w:val="000000"/>
      <w:sz w:val="20"/>
      <w:szCs w:val="20"/>
    </w:rPr>
  </w:style>
  <w:style w:type="paragraph" w:styleId="Nivel2" w:customStyle="1">
    <w:name w:val="Nivel 2"/>
    <w:qFormat/>
    <w:rsid w:val="002f5eff"/>
    <w:pPr>
      <w:widowControl/>
      <w:suppressAutoHyphens w:val="true"/>
      <w:bidi w:val="0"/>
      <w:spacing w:lineRule="auto" w:line="276" w:before="120" w:after="120"/>
      <w:jc w:val="both"/>
    </w:pPr>
    <w:rPr>
      <w:rFonts w:ascii="Ecofont_Spranq_eco_Sans" w:hAnsi="Ecofont_Spranq_eco_Sans" w:eastAsia="Arial Unicode MS" w:cs="Times New Roman"/>
      <w:color w:val="auto"/>
      <w:kern w:val="0"/>
      <w:sz w:val="20"/>
      <w:szCs w:val="20"/>
      <w:lang w:val="pt-BR" w:eastAsia="pt-BR" w:bidi="ar-SA"/>
    </w:rPr>
  </w:style>
  <w:style w:type="paragraph" w:styleId="Nivel11" w:customStyle="1">
    <w:name w:val="Nivel 1"/>
    <w:basedOn w:val="Nivel2"/>
    <w:next w:val="Nivel2"/>
    <w:qFormat/>
    <w:rsid w:val="002f5eff"/>
    <w:pPr/>
    <w:rPr>
      <w:rFonts w:cs="Arial"/>
      <w:b/>
    </w:rPr>
  </w:style>
  <w:style w:type="paragraph" w:styleId="Nivel3" w:customStyle="1">
    <w:name w:val="Nivel 3"/>
    <w:basedOn w:val="Nivel2"/>
    <w:qFormat/>
    <w:rsid w:val="002f5eff"/>
    <w:pPr/>
    <w:rPr>
      <w:rFonts w:cs="Arial"/>
      <w:color w:val="000000"/>
    </w:rPr>
  </w:style>
  <w:style w:type="paragraph" w:styleId="Nivel4" w:customStyle="1">
    <w:name w:val="Nivel 4"/>
    <w:basedOn w:val="Nivel3"/>
    <w:link w:val="Nivel4Char"/>
    <w:qFormat/>
    <w:rsid w:val="002f5eff"/>
    <w:pPr/>
    <w:rPr>
      <w:color w:val="auto"/>
    </w:rPr>
  </w:style>
  <w:style w:type="paragraph" w:styleId="Nivel5" w:customStyle="1">
    <w:name w:val="Nivel 5"/>
    <w:basedOn w:val="Nivel4"/>
    <w:qFormat/>
    <w:rsid w:val="002f5eff"/>
    <w:pPr>
      <w:tabs>
        <w:tab w:val="clear" w:pos="708"/>
        <w:tab w:val="left" w:pos="360" w:leader="none"/>
      </w:tabs>
    </w:pPr>
    <w:rPr/>
  </w:style>
  <w:style w:type="paragraph" w:styleId="BalloonText">
    <w:name w:val="Balloon Text"/>
    <w:basedOn w:val="Normal"/>
    <w:link w:val="TextodebaloChar"/>
    <w:uiPriority w:val="99"/>
    <w:semiHidden/>
    <w:unhideWhenUsed/>
    <w:qFormat/>
    <w:rsid w:val="00731d60"/>
    <w:pPr/>
    <w:rPr>
      <w:rFonts w:ascii="Segoe UI" w:hAnsi="Segoe UI" w:cs="Segoe UI"/>
      <w:sz w:val="18"/>
      <w:szCs w:val="18"/>
    </w:rPr>
  </w:style>
  <w:style w:type="paragraph" w:styleId="CabealhoeRodap">
    <w:name w:val="Cabeçalho e Rodapé"/>
    <w:basedOn w:val="Normal"/>
    <w:qFormat/>
    <w:pPr/>
    <w:rPr/>
  </w:style>
  <w:style w:type="paragraph" w:styleId="Cabealho">
    <w:name w:val="Header"/>
    <w:basedOn w:val="Normal"/>
    <w:link w:val="CabealhoChar"/>
    <w:uiPriority w:val="99"/>
    <w:unhideWhenUsed/>
    <w:rsid w:val="00805244"/>
    <w:pPr>
      <w:tabs>
        <w:tab w:val="clear" w:pos="708"/>
        <w:tab w:val="center" w:pos="4252" w:leader="none"/>
        <w:tab w:val="right" w:pos="8504" w:leader="none"/>
      </w:tabs>
    </w:pPr>
    <w:rPr/>
  </w:style>
  <w:style w:type="paragraph" w:styleId="Rodap">
    <w:name w:val="Footer"/>
    <w:basedOn w:val="Normal"/>
    <w:link w:val="RodapChar"/>
    <w:uiPriority w:val="99"/>
    <w:unhideWhenUsed/>
    <w:rsid w:val="00805244"/>
    <w:pPr>
      <w:tabs>
        <w:tab w:val="clear" w:pos="708"/>
        <w:tab w:val="center" w:pos="4252" w:leader="none"/>
        <w:tab w:val="right" w:pos="8504" w:leader="none"/>
      </w:tabs>
    </w:pPr>
    <w:rPr/>
  </w:style>
  <w:style w:type="paragraph" w:styleId="TOCHeading">
    <w:name w:val="TOC Heading"/>
    <w:basedOn w:val="Ttulo1"/>
    <w:next w:val="Normal"/>
    <w:uiPriority w:val="39"/>
    <w:unhideWhenUsed/>
    <w:qFormat/>
    <w:rsid w:val="009a58ef"/>
    <w:pPr>
      <w:spacing w:lineRule="auto" w:line="259"/>
    </w:pPr>
    <w:rPr/>
  </w:style>
  <w:style w:type="paragraph" w:styleId="Ttulododocumento">
    <w:name w:val="Title"/>
    <w:basedOn w:val="Normal"/>
    <w:next w:val="Normal"/>
    <w:link w:val="TtuloChar"/>
    <w:uiPriority w:val="10"/>
    <w:qFormat/>
    <w:rsid w:val="000453ab"/>
    <w:pPr>
      <w:spacing w:before="0" w:after="0"/>
      <w:contextualSpacing/>
    </w:pPr>
    <w:rPr>
      <w:rFonts w:ascii="Calibri Light" w:hAnsi="Calibri Light" w:eastAsia="" w:cs="" w:asciiTheme="majorHAnsi" w:cstheme="majorBidi" w:eastAsiaTheme="majorEastAsia" w:hAnsiTheme="majorHAnsi"/>
      <w:spacing w:val="-10"/>
      <w:kern w:val="2"/>
      <w:sz w:val="56"/>
      <w:szCs w:val="56"/>
    </w:rPr>
  </w:style>
  <w:style w:type="paragraph" w:styleId="Sumrio1">
    <w:name w:val="TOC 1"/>
    <w:basedOn w:val="Normal"/>
    <w:next w:val="Normal"/>
    <w:autoRedefine/>
    <w:uiPriority w:val="39"/>
    <w:unhideWhenUsed/>
    <w:rsid w:val="00441059"/>
    <w:pPr>
      <w:spacing w:before="0" w:after="100"/>
    </w:pPr>
    <w:rPr/>
  </w:style>
  <w:style w:type="paragraph" w:styleId="Legenda1">
    <w:name w:val="Legenda1"/>
    <w:basedOn w:val="Normal"/>
    <w:qFormat/>
    <w:pPr>
      <w:suppressLineNumbers/>
      <w:suppressAutoHyphens w:val="true"/>
      <w:spacing w:before="120" w:after="120"/>
    </w:pPr>
    <w:rPr>
      <w:rFonts w:cs="Lohit Hindi"/>
      <w:i/>
      <w:iCs/>
    </w:rPr>
  </w:style>
  <w:style w:type="paragraph" w:styleId="Contedodatabela">
    <w:name w:val="Conteúdo da tabela"/>
    <w:basedOn w:val="Normal"/>
    <w:qFormat/>
    <w:pPr/>
    <w:rPr/>
  </w:style>
  <w:style w:type="paragraph" w:styleId="LOnormal">
    <w:name w:val="LO-normal"/>
    <w:qFormat/>
    <w:pPr>
      <w:widowControl/>
      <w:suppressAutoHyphens w:val="true"/>
      <w:bidi w:val="0"/>
      <w:spacing w:lineRule="auto" w:line="252" w:before="0" w:after="160"/>
      <w:jc w:val="left"/>
    </w:pPr>
    <w:rPr>
      <w:rFonts w:ascii="Calibri" w:hAnsi="Calibri" w:eastAsia="Calibri" w:cs="Calibri"/>
      <w:color w:val="auto"/>
      <w:kern w:val="0"/>
      <w:sz w:val="22"/>
      <w:szCs w:val="22"/>
      <w:lang w:val="pt-BR" w:eastAsia="zh-CN" w:bidi="hi-IN"/>
    </w:rPr>
  </w:style>
  <w:style w:type="paragraph" w:styleId="Ttulodetabela">
    <w:name w:val="Título de tabela"/>
    <w:basedOn w:val="Contedodatabela"/>
    <w:qFormat/>
    <w:pPr>
      <w:suppressLineNumbers/>
      <w:jc w:val="center"/>
    </w:pPr>
    <w:rPr>
      <w:b/>
      <w:bCs/>
    </w:rPr>
  </w:style>
  <w:style w:type="numbering" w:styleId="NoList" w:default="1">
    <w:name w:val="No List"/>
    <w:uiPriority w:val="99"/>
    <w:semiHidden/>
    <w:unhideWhenUsed/>
    <w:qFormat/>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table" w:styleId="Tabelacomgrade">
    <w:name w:val="Table Grid"/>
    <w:basedOn w:val="Tabelanormal"/>
    <w:rsid w:val="002f5eff"/>
    <w:pPr>
      <w:spacing w:after="0" w:line="240" w:lineRule="auto"/>
    </w:pPr>
    <w:rPr>
      <w:rFonts w:eastAsiaTheme="minorEastAsia"/>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https://www.gov.br/compras/pt-br" TargetMode="External"/><Relationship Id="rId4" Type="http://schemas.openxmlformats.org/officeDocument/2006/relationships/hyperlink" Target="https://www.gov.br/compras/pt-br" TargetMode="External"/><Relationship Id="rId5" Type="http://schemas.openxmlformats.org/officeDocument/2006/relationships/hyperlink" Target="http://www.planalto.gov.br/ccivil_03/LEIS/L6404consol.htm" TargetMode="External"/><Relationship Id="rId6" Type="http://schemas.openxmlformats.org/officeDocument/2006/relationships/hyperlink" Target="http://www.portaldatransparencia.gov.br/ceis" TargetMode="External"/><Relationship Id="rId7" Type="http://schemas.openxmlformats.org/officeDocument/2006/relationships/hyperlink" Target="http://www.cnj.jus.br/improbidade_adm/consultar_requerido.php" TargetMode="External"/><Relationship Id="rId8" Type="http://schemas.openxmlformats.org/officeDocument/2006/relationships/image" Target="media/image2.png"/><Relationship Id="rId9" Type="http://schemas.openxmlformats.org/officeDocument/2006/relationships/header" Target="header1.xml"/><Relationship Id="rId10" Type="http://schemas.openxmlformats.org/officeDocument/2006/relationships/header" Target="header2.xml"/><Relationship Id="rId11" Type="http://schemas.openxmlformats.org/officeDocument/2006/relationships/footer" Target="footer1.xml"/><Relationship Id="rId12" Type="http://schemas.openxmlformats.org/officeDocument/2006/relationships/numbering" Target="numbering.xml"/><Relationship Id="rId13" Type="http://schemas.openxmlformats.org/officeDocument/2006/relationships/fontTable" Target="fontTable.xml"/><Relationship Id="rId14" Type="http://schemas.openxmlformats.org/officeDocument/2006/relationships/settings" Target="settings.xml"/><Relationship Id="rId15" Type="http://schemas.openxmlformats.org/officeDocument/2006/relationships/theme" Target="theme/theme1.xml"/><Relationship Id="rId16" Type="http://schemas.openxmlformats.org/officeDocument/2006/relationships/customXml" Target="../customXml/item1.xml"/><Relationship Id="rId17" Type="http://schemas.openxmlformats.org/officeDocument/2006/relationships/customXml" Target="../customXml/item2.xml"/><Relationship Id="rId18" Type="http://schemas.openxmlformats.org/officeDocument/2006/relationships/customXml" Target="../customXml/item3.xml"/><Relationship Id="rId19" Type="http://schemas.openxmlformats.org/officeDocument/2006/relationships/customXml" Target="../customXml/item4.xml"/>
</Relationships>
</file>

<file path=word/_rels/header2.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5" ma:contentTypeDescription="Crie um novo documento." ma:contentTypeScope="" ma:versionID="4c05f9ccec8ab510e9d59635959c6c29">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6791641452c16e7f522cbdd2b294a380"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194432-02BB-4416-909B-CA6A414F5E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2E802D5-3E3C-457C-A882-A5828C40F41C}">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81BDAA3B-C4A0-4944-85FF-DFC2F3D3986D}">
  <ds:schemaRefs>
    <ds:schemaRef ds:uri="http://schemas.microsoft.com/sharepoint/v3/contenttype/forms"/>
  </ds:schemaRefs>
</ds:datastoreItem>
</file>

<file path=customXml/itemProps4.xml><?xml version="1.0" encoding="utf-8"?>
<ds:datastoreItem xmlns:ds="http://schemas.openxmlformats.org/officeDocument/2006/customXml" ds:itemID="{EAD6537D-CAD8-4A7D-A68C-9F13AC072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742</TotalTime>
  <Application>LibreOffice/6.4.7.2$Linux_X86_64 LibreOffice_project/40$Build-2</Application>
  <Pages>21</Pages>
  <Words>5429</Words>
  <Characters>31114</Characters>
  <CharactersWithSpaces>36238</CharactersWithSpaces>
  <Paragraphs>330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2022-06-03T17:31:00Z</dcterms:created>
  <dc:creator/>
  <dc:description/>
  <dc:language>pt-BR</dc:language>
  <cp:lastModifiedBy/>
  <dcterms:modified xsi:type="dcterms:W3CDTF">2023-06-21T14:25:26Z</dcterms:modified>
  <cp:revision>18</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ntentTypeId">
    <vt:lpwstr>0x01010046D1D902F9AFB0458A156704A0C1878F</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